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69" w:rsidRDefault="00EE3E23" w:rsidP="001F4C69">
      <w:pPr>
        <w:widowControl w:val="0"/>
        <w:jc w:val="right"/>
      </w:pPr>
      <w:r>
        <w:t>April 6</w:t>
      </w:r>
      <w:r w:rsidR="001F4C69">
        <w:t>, 2015</w:t>
      </w:r>
    </w:p>
    <w:p w:rsidR="001F4C69" w:rsidRDefault="001F4C69" w:rsidP="001F4C69">
      <w:pPr>
        <w:widowControl w:val="0"/>
        <w:jc w:val="right"/>
      </w:pPr>
    </w:p>
    <w:p w:rsidR="001F4C69" w:rsidRDefault="001F4C69" w:rsidP="001F4C69">
      <w:pPr>
        <w:widowControl w:val="0"/>
        <w:jc w:val="right"/>
      </w:pPr>
    </w:p>
    <w:p w:rsidR="00361182" w:rsidRDefault="001F4C69">
      <w:pPr>
        <w:widowControl w:val="0"/>
      </w:pPr>
      <w:r>
        <w:fldChar w:fldCharType="begin"/>
      </w:r>
      <w:r>
        <w:instrText xml:space="preserve"> SEQ CHAPTER \h \r 1</w:instrText>
      </w:r>
      <w:r>
        <w:fldChar w:fldCharType="end"/>
      </w:r>
      <w:r>
        <w:t xml:space="preserve">To: </w:t>
      </w:r>
      <w:r>
        <w:tab/>
        <w:t>Faculty Assembly</w:t>
      </w:r>
    </w:p>
    <w:p w:rsidR="00361182" w:rsidRDefault="001F4C69">
      <w:pPr>
        <w:widowControl w:val="0"/>
      </w:pPr>
      <w:r>
        <w:t xml:space="preserve">From: </w:t>
      </w:r>
      <w:r>
        <w:tab/>
        <w:t>Personnel Policies Council</w:t>
      </w:r>
    </w:p>
    <w:p w:rsidR="001F4C69" w:rsidRDefault="001F4C69">
      <w:pPr>
        <w:widowControl w:val="0"/>
      </w:pPr>
      <w:r>
        <w:t xml:space="preserve">Re: </w:t>
      </w:r>
      <w:r>
        <w:tab/>
        <w:t>Proposed Bylaws revisions</w:t>
      </w:r>
    </w:p>
    <w:p w:rsidR="001F4C69" w:rsidRDefault="001F4C69">
      <w:pPr>
        <w:widowControl w:val="0"/>
      </w:pPr>
    </w:p>
    <w:p w:rsidR="001F4C69" w:rsidRDefault="001F4C69">
      <w:pPr>
        <w:widowControl w:val="0"/>
      </w:pPr>
    </w:p>
    <w:p w:rsidR="00EE3E23" w:rsidRDefault="00EE3E23">
      <w:pPr>
        <w:widowControl w:val="0"/>
      </w:pPr>
    </w:p>
    <w:p w:rsidR="00E34061" w:rsidRPr="00EE3E23" w:rsidRDefault="00E34061" w:rsidP="00E34061">
      <w:pPr>
        <w:rPr>
          <w:color w:val="7030A0"/>
          <w:sz w:val="28"/>
          <w:szCs w:val="28"/>
        </w:rPr>
      </w:pPr>
      <w:r w:rsidRPr="00EE3E23">
        <w:rPr>
          <w:b/>
          <w:color w:val="7030A0"/>
          <w:sz w:val="28"/>
          <w:szCs w:val="28"/>
        </w:rPr>
        <w:t>Motion 1:</w:t>
      </w:r>
      <w:r w:rsidRPr="00EE3E23">
        <w:rPr>
          <w:b/>
          <w:color w:val="7030A0"/>
          <w:sz w:val="28"/>
          <w:szCs w:val="28"/>
        </w:rPr>
        <w:tab/>
      </w:r>
      <w:r w:rsidRPr="00EE3E23">
        <w:rPr>
          <w:color w:val="7030A0"/>
          <w:sz w:val="28"/>
          <w:szCs w:val="28"/>
        </w:rPr>
        <w:t>Amend Article XI, Procedure and Voting</w:t>
      </w:r>
      <w:r w:rsidR="00B045D1">
        <w:rPr>
          <w:color w:val="7030A0"/>
          <w:sz w:val="28"/>
          <w:szCs w:val="28"/>
        </w:rPr>
        <w:t>, Section 5</w:t>
      </w:r>
      <w:r w:rsidRPr="00EE3E23">
        <w:rPr>
          <w:color w:val="7030A0"/>
          <w:sz w:val="28"/>
          <w:szCs w:val="28"/>
        </w:rPr>
        <w:t xml:space="preserve"> as follows:</w:t>
      </w:r>
    </w:p>
    <w:p w:rsidR="00E34061" w:rsidRDefault="00E34061" w:rsidP="00E34061">
      <w:pPr>
        <w:spacing w:before="240" w:after="120"/>
        <w:jc w:val="center"/>
        <w:rPr>
          <w:b/>
          <w:sz w:val="32"/>
        </w:rPr>
      </w:pPr>
      <w:r>
        <w:rPr>
          <w:b/>
          <w:sz w:val="32"/>
        </w:rPr>
        <w:t>ARTICLE XI</w:t>
      </w:r>
    </w:p>
    <w:p w:rsidR="00E34061" w:rsidRPr="00E34061" w:rsidRDefault="00E34061" w:rsidP="00EE3E23">
      <w:pPr>
        <w:spacing w:before="120" w:after="120"/>
        <w:jc w:val="center"/>
        <w:rPr>
          <w:b/>
          <w:sz w:val="28"/>
          <w:szCs w:val="28"/>
        </w:rPr>
      </w:pPr>
      <w:r w:rsidRPr="00E34061">
        <w:rPr>
          <w:b/>
          <w:sz w:val="28"/>
          <w:szCs w:val="28"/>
        </w:rPr>
        <w:t>PROCEDURE AND VOTING</w:t>
      </w:r>
    </w:p>
    <w:p w:rsidR="00E34061" w:rsidRDefault="00E34061" w:rsidP="00EE3E23">
      <w:pPr>
        <w:spacing w:after="79"/>
        <w:ind w:firstLine="360"/>
        <w:jc w:val="both"/>
        <w:rPr>
          <w:b/>
          <w:sz w:val="27"/>
        </w:rPr>
      </w:pPr>
      <w:proofErr w:type="gramStart"/>
      <w:r>
        <w:rPr>
          <w:b/>
          <w:sz w:val="26"/>
        </w:rPr>
        <w:t>Section 5.</w:t>
      </w:r>
      <w:proofErr w:type="gramEnd"/>
      <w:r>
        <w:rPr>
          <w:b/>
          <w:sz w:val="26"/>
        </w:rPr>
        <w:t xml:space="preserve"> Voting</w:t>
      </w:r>
    </w:p>
    <w:p w:rsidR="00E34061" w:rsidRDefault="00E34061" w:rsidP="00E34061">
      <w:pPr>
        <w:numPr>
          <w:ilvl w:val="0"/>
          <w:numId w:val="7"/>
        </w:numPr>
        <w:spacing w:after="120"/>
        <w:jc w:val="both"/>
        <w:rPr>
          <w:sz w:val="23"/>
        </w:rPr>
      </w:pPr>
      <w:r>
        <w:rPr>
          <w:sz w:val="23"/>
        </w:rPr>
        <w:t xml:space="preserve">Voting on all questions </w:t>
      </w:r>
      <w:r>
        <w:rPr>
          <w:b/>
          <w:sz w:val="23"/>
          <w:u w:val="single"/>
        </w:rPr>
        <w:t xml:space="preserve">put before the Faculty Assembly </w:t>
      </w:r>
      <w:r>
        <w:rPr>
          <w:sz w:val="23"/>
        </w:rPr>
        <w:t xml:space="preserve">shall be </w:t>
      </w:r>
      <w:r>
        <w:rPr>
          <w:strike/>
          <w:sz w:val="23"/>
        </w:rPr>
        <w:t>by hand count except for the following</w:t>
      </w:r>
      <w:r>
        <w:rPr>
          <w:sz w:val="23"/>
        </w:rPr>
        <w:t xml:space="preserve"> </w:t>
      </w:r>
      <w:r>
        <w:rPr>
          <w:b/>
          <w:sz w:val="23"/>
          <w:u w:val="single"/>
        </w:rPr>
        <w:t>initiated by the chair, using the following methods</w:t>
      </w:r>
      <w:r>
        <w:rPr>
          <w:sz w:val="23"/>
        </w:rPr>
        <w:t>:</w:t>
      </w:r>
    </w:p>
    <w:p w:rsidR="00E34061" w:rsidRDefault="00E34061" w:rsidP="00E34061">
      <w:pPr>
        <w:pStyle w:val="Outline0011"/>
        <w:widowControl/>
        <w:numPr>
          <w:ilvl w:val="0"/>
          <w:numId w:val="6"/>
        </w:numPr>
        <w:spacing w:after="120"/>
        <w:ind w:hanging="360"/>
        <w:jc w:val="both"/>
        <w:rPr>
          <w:b/>
          <w:sz w:val="23"/>
          <w:u w:val="single"/>
        </w:rPr>
      </w:pPr>
      <w:r>
        <w:rPr>
          <w:b/>
          <w:sz w:val="23"/>
        </w:rPr>
        <w:tab/>
      </w:r>
      <w:r>
        <w:rPr>
          <w:b/>
          <w:sz w:val="23"/>
          <w:u w:val="single"/>
        </w:rPr>
        <w:t>Hand or voice</w:t>
      </w:r>
      <w:r>
        <w:rPr>
          <w:sz w:val="23"/>
        </w:rPr>
        <w:t>, or</w:t>
      </w:r>
    </w:p>
    <w:p w:rsidR="00E34061" w:rsidRDefault="00E34061" w:rsidP="00E34061">
      <w:pPr>
        <w:pStyle w:val="Outline0011"/>
        <w:widowControl/>
        <w:numPr>
          <w:ilvl w:val="0"/>
          <w:numId w:val="6"/>
        </w:numPr>
        <w:spacing w:after="120"/>
        <w:ind w:hanging="360"/>
        <w:jc w:val="both"/>
        <w:rPr>
          <w:sz w:val="22"/>
        </w:rPr>
      </w:pPr>
      <w:r>
        <w:rPr>
          <w:sz w:val="22"/>
        </w:rPr>
        <w:tab/>
      </w:r>
      <w:proofErr w:type="gramStart"/>
      <w:r>
        <w:rPr>
          <w:sz w:val="23"/>
        </w:rPr>
        <w:t>a</w:t>
      </w:r>
      <w:proofErr w:type="gramEnd"/>
      <w:r>
        <w:rPr>
          <w:sz w:val="23"/>
        </w:rPr>
        <w:t xml:space="preserve"> secret ballot</w:t>
      </w:r>
      <w:r>
        <w:rPr>
          <w:b/>
          <w:sz w:val="23"/>
          <w:u w:val="single"/>
        </w:rPr>
        <w:t>, which shall be performed by electronic device; with said electronic device having been approved for use by the Executive Board</w:t>
      </w:r>
      <w:r>
        <w:rPr>
          <w:b/>
          <w:strike/>
          <w:sz w:val="23"/>
          <w:u w:val="single"/>
        </w:rPr>
        <w:t>.</w:t>
      </w:r>
      <w:r>
        <w:rPr>
          <w:b/>
          <w:sz w:val="23"/>
        </w:rPr>
        <w:t xml:space="preserve"> </w:t>
      </w:r>
      <w:proofErr w:type="gramStart"/>
      <w:r>
        <w:rPr>
          <w:strike/>
          <w:sz w:val="23"/>
        </w:rPr>
        <w:t>is</w:t>
      </w:r>
      <w:proofErr w:type="gramEnd"/>
      <w:r>
        <w:rPr>
          <w:strike/>
          <w:sz w:val="23"/>
        </w:rPr>
        <w:t xml:space="preserve"> authorized by invoking subsection c) below. Voting shall not be by secret ballot except as provided for in these </w:t>
      </w:r>
      <w:r>
        <w:rPr>
          <w:b/>
          <w:i/>
          <w:strike/>
          <w:sz w:val="23"/>
        </w:rPr>
        <w:t>Bylaws</w:t>
      </w:r>
      <w:r>
        <w:rPr>
          <w:strike/>
          <w:sz w:val="23"/>
        </w:rPr>
        <w:t>, as in Article IX, Section 5 and in b) and c) below</w:t>
      </w:r>
      <w:r>
        <w:rPr>
          <w:sz w:val="23"/>
        </w:rPr>
        <w:t xml:space="preserve">. </w:t>
      </w:r>
      <w:r>
        <w:rPr>
          <w:strike/>
          <w:sz w:val="23"/>
        </w:rPr>
        <w:t>Counting of votes may be done by machine, if the house wishes.</w:t>
      </w:r>
      <w:r>
        <w:rPr>
          <w:b/>
          <w:sz w:val="23"/>
          <w:u w:val="single"/>
        </w:rPr>
        <w:t>, or</w:t>
      </w:r>
    </w:p>
    <w:p w:rsidR="00E34061" w:rsidRDefault="00E34061" w:rsidP="00E34061">
      <w:pPr>
        <w:pStyle w:val="Outline0011"/>
        <w:widowControl/>
        <w:numPr>
          <w:ilvl w:val="0"/>
          <w:numId w:val="6"/>
        </w:numPr>
        <w:spacing w:after="120"/>
        <w:ind w:hanging="360"/>
        <w:jc w:val="both"/>
        <w:rPr>
          <w:sz w:val="22"/>
        </w:rPr>
      </w:pPr>
      <w:r>
        <w:rPr>
          <w:sz w:val="22"/>
        </w:rPr>
        <w:tab/>
      </w:r>
      <w:proofErr w:type="gramStart"/>
      <w:r>
        <w:rPr>
          <w:sz w:val="23"/>
        </w:rPr>
        <w:t>a</w:t>
      </w:r>
      <w:proofErr w:type="gramEnd"/>
      <w:r>
        <w:rPr>
          <w:sz w:val="23"/>
        </w:rPr>
        <w:t xml:space="preserve"> roll-call vote.</w:t>
      </w:r>
    </w:p>
    <w:p w:rsidR="00E34061" w:rsidRDefault="00E34061" w:rsidP="00E34061">
      <w:pPr>
        <w:numPr>
          <w:ilvl w:val="0"/>
          <w:numId w:val="7"/>
        </w:numPr>
        <w:spacing w:after="120"/>
        <w:jc w:val="both"/>
        <w:rPr>
          <w:sz w:val="23"/>
        </w:rPr>
      </w:pPr>
      <w:r>
        <w:rPr>
          <w:sz w:val="23"/>
        </w:rPr>
        <w:t xml:space="preserve">All votes concerning the recommendation or appointment of personnel to councils and committees of the Assembly shall be decided by secret ballot. </w:t>
      </w:r>
    </w:p>
    <w:p w:rsidR="00EE3E23" w:rsidRDefault="00E34061" w:rsidP="00EE3E23">
      <w:pPr>
        <w:numPr>
          <w:ilvl w:val="0"/>
          <w:numId w:val="7"/>
        </w:numPr>
        <w:spacing w:after="120"/>
        <w:jc w:val="both"/>
        <w:rPr>
          <w:sz w:val="23"/>
        </w:rPr>
      </w:pPr>
      <w:r w:rsidRPr="00E34061">
        <w:rPr>
          <w:sz w:val="23"/>
        </w:rPr>
        <w:t xml:space="preserve">A </w:t>
      </w:r>
      <w:r w:rsidRPr="00E34061">
        <w:rPr>
          <w:strike/>
          <w:sz w:val="23"/>
        </w:rPr>
        <w:t>secret ballot</w:t>
      </w:r>
      <w:r w:rsidRPr="00E34061">
        <w:rPr>
          <w:b/>
          <w:sz w:val="23"/>
          <w:u w:val="single"/>
        </w:rPr>
        <w:t xml:space="preserve"> roll call vote</w:t>
      </w:r>
      <w:r w:rsidRPr="00E34061">
        <w:rPr>
          <w:sz w:val="23"/>
        </w:rPr>
        <w:t xml:space="preserve"> on any other matter before the Assembly may be requested by any member of the Assembly. Upon request, the chair shall poll the Assembly by a hand count. If a majority of those voting agree, the vote shall be </w:t>
      </w:r>
      <w:r w:rsidRPr="00E34061">
        <w:rPr>
          <w:strike/>
          <w:sz w:val="23"/>
        </w:rPr>
        <w:t>secret</w:t>
      </w:r>
      <w:r w:rsidRPr="00E34061">
        <w:rPr>
          <w:sz w:val="23"/>
        </w:rPr>
        <w:t xml:space="preserve"> </w:t>
      </w:r>
      <w:r w:rsidRPr="00E34061">
        <w:rPr>
          <w:b/>
          <w:sz w:val="23"/>
          <w:u w:val="single"/>
        </w:rPr>
        <w:t xml:space="preserve">by roll </w:t>
      </w:r>
      <w:proofErr w:type="gramStart"/>
      <w:r w:rsidRPr="00E34061">
        <w:rPr>
          <w:b/>
          <w:sz w:val="23"/>
          <w:u w:val="single"/>
        </w:rPr>
        <w:t xml:space="preserve">call </w:t>
      </w:r>
      <w:r w:rsidRPr="00E34061">
        <w:rPr>
          <w:sz w:val="23"/>
        </w:rPr>
        <w:t>.</w:t>
      </w:r>
      <w:proofErr w:type="gramEnd"/>
      <w:r w:rsidRPr="00E34061">
        <w:rPr>
          <w:sz w:val="23"/>
        </w:rPr>
        <w:t xml:space="preserve"> </w:t>
      </w:r>
      <w:r w:rsidRPr="00E34061">
        <w:rPr>
          <w:strike/>
          <w:sz w:val="23"/>
        </w:rPr>
        <w:t>A positive vote will disallow a roll-call vote as an option.</w:t>
      </w:r>
    </w:p>
    <w:p w:rsidR="00EE3E23" w:rsidRPr="00EE3E23" w:rsidRDefault="00E34061" w:rsidP="00EE3E23">
      <w:pPr>
        <w:numPr>
          <w:ilvl w:val="0"/>
          <w:numId w:val="7"/>
        </w:numPr>
        <w:spacing w:after="120"/>
        <w:jc w:val="both"/>
        <w:rPr>
          <w:b/>
          <w:sz w:val="23"/>
        </w:rPr>
      </w:pPr>
      <w:r w:rsidRPr="00EE3E23">
        <w:rPr>
          <w:b/>
          <w:sz w:val="23"/>
          <w:u w:val="single"/>
        </w:rPr>
        <w:t>Voting on all matters before the Faculty Assembly shall be conducted with the eligible voting member being physically present, and having signed the attendance form.</w:t>
      </w:r>
    </w:p>
    <w:p w:rsidR="00E34061" w:rsidRPr="00EE3E23" w:rsidRDefault="00E34061" w:rsidP="00EE3E23">
      <w:pPr>
        <w:numPr>
          <w:ilvl w:val="0"/>
          <w:numId w:val="7"/>
        </w:numPr>
        <w:spacing w:after="120"/>
        <w:jc w:val="both"/>
        <w:rPr>
          <w:b/>
          <w:sz w:val="23"/>
        </w:rPr>
      </w:pPr>
      <w:r w:rsidRPr="00EE3E23">
        <w:rPr>
          <w:b/>
          <w:sz w:val="23"/>
          <w:u w:val="single"/>
        </w:rPr>
        <w:t>Voting on all matters before the General Faculty shall be by voice vote.</w:t>
      </w:r>
      <w:r w:rsidRPr="00EE3E23">
        <w:rPr>
          <w:b/>
          <w:sz w:val="22"/>
          <w:u w:val="single"/>
        </w:rPr>
        <w:t xml:space="preserve"> If a voice vote is challenged, a hand vote will decide the </w:t>
      </w:r>
      <w:r w:rsidR="00EE3E23" w:rsidRPr="00EE3E23">
        <w:rPr>
          <w:b/>
          <w:sz w:val="22"/>
          <w:u w:val="single"/>
        </w:rPr>
        <w:t>matter</w:t>
      </w:r>
      <w:r w:rsidRPr="00EE3E23">
        <w:rPr>
          <w:b/>
          <w:sz w:val="22"/>
          <w:u w:val="single"/>
        </w:rPr>
        <w:t>.</w:t>
      </w:r>
    </w:p>
    <w:p w:rsidR="00EE3E23" w:rsidRDefault="00EE3E23" w:rsidP="00E34061">
      <w:pPr>
        <w:rPr>
          <w:b/>
        </w:rPr>
      </w:pPr>
    </w:p>
    <w:p w:rsidR="00EE3E23" w:rsidRDefault="00EE3E23" w:rsidP="00E34061">
      <w:pPr>
        <w:rPr>
          <w:b/>
        </w:rPr>
      </w:pPr>
    </w:p>
    <w:p w:rsidR="00E34061" w:rsidRPr="00EE3E23" w:rsidRDefault="00E34061" w:rsidP="00E34061">
      <w:pPr>
        <w:rPr>
          <w:b/>
          <w:sz w:val="28"/>
          <w:szCs w:val="28"/>
        </w:rPr>
      </w:pPr>
      <w:r w:rsidRPr="00EE3E23">
        <w:rPr>
          <w:b/>
          <w:sz w:val="28"/>
          <w:szCs w:val="28"/>
        </w:rPr>
        <w:t>Rationale:</w:t>
      </w:r>
    </w:p>
    <w:p w:rsidR="00E34061" w:rsidRDefault="00E34061" w:rsidP="00E34061">
      <w:pPr>
        <w:numPr>
          <w:ilvl w:val="0"/>
          <w:numId w:val="8"/>
        </w:numPr>
      </w:pPr>
      <w:r>
        <w:t>Electronic voting expedites the voting process</w:t>
      </w:r>
    </w:p>
    <w:p w:rsidR="00E34061" w:rsidRDefault="00E34061" w:rsidP="00E34061">
      <w:pPr>
        <w:numPr>
          <w:ilvl w:val="0"/>
          <w:numId w:val="8"/>
        </w:numPr>
      </w:pPr>
      <w:r>
        <w:t>Electronic voting allows for an accurate count of votes</w:t>
      </w:r>
    </w:p>
    <w:p w:rsidR="00E34061" w:rsidRDefault="00E34061" w:rsidP="00E34061">
      <w:pPr>
        <w:numPr>
          <w:ilvl w:val="0"/>
          <w:numId w:val="8"/>
        </w:numPr>
      </w:pPr>
      <w:r>
        <w:t>Providing options allows for contingency situations</w:t>
      </w:r>
      <w:r>
        <w:tab/>
      </w:r>
    </w:p>
    <w:p w:rsidR="00EE3E23" w:rsidRDefault="00EE3E23" w:rsidP="00E340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8" w:lineRule="auto"/>
        <w:rPr>
          <w:sz w:val="22"/>
        </w:rPr>
      </w:pPr>
    </w:p>
    <w:p w:rsidR="00EE3E23" w:rsidRDefault="00EE3E23" w:rsidP="00E340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8" w:lineRule="auto"/>
        <w:rPr>
          <w:sz w:val="22"/>
        </w:rPr>
      </w:pPr>
    </w:p>
    <w:p w:rsidR="00EE3E23" w:rsidRPr="00EE3E23" w:rsidRDefault="00EE3E23" w:rsidP="00EE3E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8" w:lineRule="auto"/>
        <w:jc w:val="center"/>
        <w:rPr>
          <w:b/>
          <w:sz w:val="20"/>
        </w:rPr>
      </w:pPr>
      <w:r w:rsidRPr="00EE3E23">
        <w:rPr>
          <w:b/>
          <w:sz w:val="20"/>
        </w:rPr>
        <w:t>(OVER)</w:t>
      </w:r>
    </w:p>
    <w:p w:rsidR="00E34061" w:rsidRPr="00EE3E23" w:rsidRDefault="00EE3E23" w:rsidP="00EE3E23">
      <w:pPr>
        <w:ind w:left="1440" w:hanging="1440"/>
        <w:rPr>
          <w:color w:val="7030A0"/>
          <w:sz w:val="28"/>
          <w:szCs w:val="28"/>
        </w:rPr>
      </w:pPr>
      <w:r w:rsidRPr="00EE3E23">
        <w:rPr>
          <w:b/>
          <w:color w:val="7030A0"/>
          <w:sz w:val="28"/>
          <w:szCs w:val="28"/>
        </w:rPr>
        <w:lastRenderedPageBreak/>
        <w:t>Motion 2:</w:t>
      </w:r>
      <w:r w:rsidRPr="00EE3E23">
        <w:rPr>
          <w:b/>
          <w:color w:val="7030A0"/>
          <w:sz w:val="28"/>
          <w:szCs w:val="28"/>
        </w:rPr>
        <w:tab/>
      </w:r>
      <w:r w:rsidR="00E34061" w:rsidRPr="00EE3E23">
        <w:rPr>
          <w:color w:val="7030A0"/>
          <w:sz w:val="28"/>
          <w:szCs w:val="28"/>
        </w:rPr>
        <w:t>Amend Article XV</w:t>
      </w:r>
      <w:r w:rsidRPr="00EE3E23">
        <w:rPr>
          <w:color w:val="7030A0"/>
          <w:sz w:val="28"/>
          <w:szCs w:val="28"/>
        </w:rPr>
        <w:t xml:space="preserve">, </w:t>
      </w:r>
      <w:r w:rsidR="00E34061" w:rsidRPr="00EE3E23">
        <w:rPr>
          <w:color w:val="7030A0"/>
          <w:sz w:val="28"/>
          <w:szCs w:val="28"/>
        </w:rPr>
        <w:t>Admissions &amp; Student Services Council</w:t>
      </w:r>
      <w:r w:rsidRPr="00EE3E23">
        <w:rPr>
          <w:color w:val="7030A0"/>
          <w:sz w:val="28"/>
          <w:szCs w:val="28"/>
        </w:rPr>
        <w:t xml:space="preserve"> as follows:</w:t>
      </w:r>
    </w:p>
    <w:p w:rsidR="00EE3E23" w:rsidRDefault="00E34061" w:rsidP="00E34061">
      <w:pPr>
        <w:jc w:val="center"/>
        <w:rPr>
          <w:b/>
          <w:sz w:val="32"/>
        </w:rPr>
      </w:pPr>
      <w:r w:rsidRPr="00EE3E23">
        <w:rPr>
          <w:b/>
          <w:sz w:val="32"/>
        </w:rPr>
        <w:t>ARTICLE XV</w:t>
      </w:r>
    </w:p>
    <w:p w:rsidR="00EE3E23" w:rsidRDefault="00E34061" w:rsidP="00E34061">
      <w:pPr>
        <w:jc w:val="center"/>
        <w:rPr>
          <w:sz w:val="32"/>
          <w:szCs w:val="32"/>
        </w:rPr>
      </w:pPr>
      <w:r w:rsidRPr="007F480F">
        <w:rPr>
          <w:sz w:val="32"/>
          <w:szCs w:val="32"/>
        </w:rPr>
        <w:t xml:space="preserve"> </w:t>
      </w:r>
      <w:r w:rsidR="00EE3E23">
        <w:rPr>
          <w:sz w:val="32"/>
          <w:szCs w:val="32"/>
        </w:rPr>
        <w:t>Admissions and Student Services Council</w:t>
      </w:r>
    </w:p>
    <w:p w:rsidR="00E34061" w:rsidRPr="00A763BA" w:rsidRDefault="00E34061" w:rsidP="00E34061">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20"/>
      </w:tblGrid>
      <w:tr w:rsidR="00E34061" w:rsidTr="0028220D">
        <w:tc>
          <w:tcPr>
            <w:tcW w:w="6588" w:type="dxa"/>
            <w:shd w:val="clear" w:color="auto" w:fill="auto"/>
          </w:tcPr>
          <w:p w:rsidR="00E34061" w:rsidRPr="00F83EBF" w:rsidRDefault="00E34061" w:rsidP="0028220D">
            <w:pPr>
              <w:jc w:val="center"/>
              <w:rPr>
                <w:rFonts w:ascii="Calibri" w:eastAsia="Calibri" w:hAnsi="Calibri"/>
                <w:b/>
                <w:sz w:val="28"/>
                <w:szCs w:val="28"/>
              </w:rPr>
            </w:pPr>
            <w:r w:rsidRPr="00F83EBF">
              <w:rPr>
                <w:rFonts w:ascii="Calibri" w:eastAsia="Calibri" w:hAnsi="Calibri"/>
                <w:b/>
                <w:sz w:val="28"/>
                <w:szCs w:val="28"/>
              </w:rPr>
              <w:t>Current Language</w:t>
            </w:r>
          </w:p>
        </w:tc>
        <w:tc>
          <w:tcPr>
            <w:tcW w:w="6588" w:type="dxa"/>
            <w:shd w:val="clear" w:color="auto" w:fill="auto"/>
          </w:tcPr>
          <w:p w:rsidR="00E34061" w:rsidRPr="00F83EBF" w:rsidRDefault="00E34061" w:rsidP="0028220D">
            <w:pPr>
              <w:jc w:val="center"/>
              <w:rPr>
                <w:rFonts w:ascii="Calibri" w:eastAsia="Calibri" w:hAnsi="Calibri"/>
                <w:b/>
                <w:sz w:val="28"/>
                <w:szCs w:val="28"/>
              </w:rPr>
            </w:pPr>
            <w:r w:rsidRPr="00F83EBF">
              <w:rPr>
                <w:rFonts w:ascii="Calibri" w:eastAsia="Calibri" w:hAnsi="Calibri"/>
                <w:b/>
                <w:sz w:val="28"/>
                <w:szCs w:val="28"/>
              </w:rPr>
              <w:t>Proposed Language</w:t>
            </w:r>
          </w:p>
        </w:tc>
      </w:tr>
      <w:tr w:rsidR="00E34061" w:rsidTr="0028220D">
        <w:tc>
          <w:tcPr>
            <w:tcW w:w="6588" w:type="dxa"/>
            <w:shd w:val="clear" w:color="auto" w:fill="auto"/>
          </w:tcPr>
          <w:p w:rsidR="00E34061" w:rsidRPr="00F83EBF" w:rsidRDefault="00E34061" w:rsidP="0028220D">
            <w:pPr>
              <w:jc w:val="center"/>
              <w:rPr>
                <w:rFonts w:ascii="Calibri" w:eastAsia="Calibri" w:hAnsi="Calibri"/>
                <w:color w:val="C00000"/>
                <w:sz w:val="28"/>
                <w:szCs w:val="28"/>
              </w:rPr>
            </w:pPr>
            <w:r w:rsidRPr="00F83EBF">
              <w:rPr>
                <w:rFonts w:ascii="Calibri" w:eastAsia="Calibri" w:hAnsi="Calibri"/>
                <w:color w:val="C00000"/>
                <w:sz w:val="28"/>
                <w:szCs w:val="28"/>
              </w:rPr>
              <w:t>Admissions &amp; Student Services Council</w:t>
            </w:r>
          </w:p>
        </w:tc>
        <w:tc>
          <w:tcPr>
            <w:tcW w:w="6588" w:type="dxa"/>
            <w:shd w:val="clear" w:color="auto" w:fill="auto"/>
          </w:tcPr>
          <w:p w:rsidR="00E34061" w:rsidRPr="00F83EBF" w:rsidRDefault="00E34061" w:rsidP="0028220D">
            <w:pPr>
              <w:jc w:val="center"/>
              <w:rPr>
                <w:rFonts w:ascii="Calibri" w:eastAsia="Calibri" w:hAnsi="Calibri"/>
                <w:color w:val="C00000"/>
                <w:sz w:val="28"/>
                <w:szCs w:val="28"/>
              </w:rPr>
            </w:pPr>
            <w:r w:rsidRPr="00F83EBF">
              <w:rPr>
                <w:rFonts w:ascii="Calibri" w:eastAsia="Calibri" w:hAnsi="Calibri"/>
                <w:color w:val="C00000"/>
                <w:sz w:val="28"/>
                <w:szCs w:val="28"/>
              </w:rPr>
              <w:t>Student Issues &amp; Concerns Council</w:t>
            </w:r>
          </w:p>
        </w:tc>
      </w:tr>
      <w:tr w:rsidR="00E34061" w:rsidTr="0028220D">
        <w:tc>
          <w:tcPr>
            <w:tcW w:w="6588" w:type="dxa"/>
            <w:shd w:val="clear" w:color="auto" w:fill="auto"/>
          </w:tcPr>
          <w:p w:rsidR="00EE3E23" w:rsidRDefault="00EE3E23" w:rsidP="0028220D">
            <w:pPr>
              <w:rPr>
                <w:rFonts w:ascii="Calibri" w:eastAsia="Calibri" w:hAnsi="Calibri"/>
                <w:b/>
                <w:szCs w:val="24"/>
              </w:rPr>
            </w:pPr>
          </w:p>
          <w:p w:rsidR="00E34061" w:rsidRPr="00F83EBF" w:rsidRDefault="00E34061" w:rsidP="0028220D">
            <w:pPr>
              <w:rPr>
                <w:rFonts w:ascii="Calibri" w:eastAsia="Calibri" w:hAnsi="Calibri"/>
                <w:szCs w:val="24"/>
              </w:rPr>
            </w:pPr>
            <w:r w:rsidRPr="00F83EBF">
              <w:rPr>
                <w:rFonts w:ascii="Calibri" w:eastAsia="Calibri" w:hAnsi="Calibri"/>
                <w:b/>
                <w:szCs w:val="24"/>
              </w:rPr>
              <w:t>Section 1. Ex Officio Members</w:t>
            </w:r>
            <w:r w:rsidRPr="00F83EBF">
              <w:rPr>
                <w:rFonts w:ascii="Calibri" w:eastAsia="Calibri" w:hAnsi="Calibri"/>
                <w:b/>
                <w:szCs w:val="24"/>
              </w:rPr>
              <w:br/>
            </w:r>
            <w:r w:rsidRPr="00F83EBF">
              <w:rPr>
                <w:rFonts w:ascii="Calibri" w:eastAsia="Calibri" w:hAnsi="Calibri"/>
                <w:szCs w:val="24"/>
              </w:rPr>
              <w:t xml:space="preserve">The Vice President for Student Affairs and Enrollment Management, the Dean of Student Affairs, the Director of Learning Services, and the Coordinator of Disability Services. </w:t>
            </w:r>
          </w:p>
          <w:p w:rsidR="00E34061" w:rsidRPr="00F83EBF" w:rsidRDefault="00E34061" w:rsidP="0028220D">
            <w:pPr>
              <w:rPr>
                <w:rFonts w:ascii="Calibri" w:eastAsia="Calibri" w:hAnsi="Calibri"/>
                <w:szCs w:val="24"/>
              </w:rPr>
            </w:pPr>
          </w:p>
        </w:tc>
        <w:tc>
          <w:tcPr>
            <w:tcW w:w="6588" w:type="dxa"/>
            <w:shd w:val="clear" w:color="auto" w:fill="EDEDED"/>
          </w:tcPr>
          <w:p w:rsidR="00EE3E23" w:rsidRDefault="00EE3E23" w:rsidP="0028220D">
            <w:pPr>
              <w:rPr>
                <w:rFonts w:ascii="Calibri" w:eastAsia="Calibri" w:hAnsi="Calibri"/>
                <w:b/>
                <w:szCs w:val="24"/>
              </w:rPr>
            </w:pPr>
          </w:p>
          <w:p w:rsidR="00E34061" w:rsidRPr="00F83EBF" w:rsidRDefault="00E34061" w:rsidP="0028220D">
            <w:pPr>
              <w:rPr>
                <w:rFonts w:ascii="Calibri" w:eastAsia="Calibri" w:hAnsi="Calibri"/>
                <w:szCs w:val="24"/>
              </w:rPr>
            </w:pPr>
            <w:r w:rsidRPr="00F83EBF">
              <w:rPr>
                <w:rFonts w:ascii="Calibri" w:eastAsia="Calibri" w:hAnsi="Calibri"/>
                <w:b/>
                <w:szCs w:val="24"/>
              </w:rPr>
              <w:t>Section 1. Ex Officio Members</w:t>
            </w:r>
            <w:r w:rsidRPr="00F83EBF">
              <w:rPr>
                <w:rFonts w:ascii="Calibri" w:eastAsia="Calibri" w:hAnsi="Calibri"/>
                <w:b/>
                <w:szCs w:val="24"/>
              </w:rPr>
              <w:br/>
            </w:r>
            <w:r w:rsidRPr="00F83EBF">
              <w:rPr>
                <w:rFonts w:ascii="Calibri" w:eastAsia="Calibri" w:hAnsi="Calibri"/>
                <w:szCs w:val="24"/>
              </w:rPr>
              <w:t xml:space="preserve">Dean of Students, President of the Student Association (SA), </w:t>
            </w:r>
            <w:proofErr w:type="gramStart"/>
            <w:r w:rsidRPr="00F83EBF">
              <w:rPr>
                <w:rFonts w:ascii="Calibri" w:eastAsia="Calibri" w:hAnsi="Calibri"/>
                <w:szCs w:val="24"/>
              </w:rPr>
              <w:t>Office</w:t>
            </w:r>
            <w:proofErr w:type="gramEnd"/>
            <w:r w:rsidRPr="00F83EBF">
              <w:rPr>
                <w:rFonts w:ascii="Calibri" w:eastAsia="Calibri" w:hAnsi="Calibri"/>
                <w:szCs w:val="24"/>
              </w:rPr>
              <w:t xml:space="preserve"> of Learning Services Director, and the Coordinator of Disability Support Services.</w:t>
            </w:r>
          </w:p>
        </w:tc>
      </w:tr>
      <w:tr w:rsidR="00E34061" w:rsidTr="0028220D">
        <w:tc>
          <w:tcPr>
            <w:tcW w:w="6588" w:type="dxa"/>
            <w:shd w:val="clear" w:color="auto" w:fill="auto"/>
          </w:tcPr>
          <w:p w:rsidR="003562FF" w:rsidRDefault="003562FF" w:rsidP="0028220D">
            <w:pPr>
              <w:rPr>
                <w:rFonts w:ascii="Calibri" w:eastAsia="Calibri" w:hAnsi="Calibri"/>
                <w:b/>
                <w:szCs w:val="24"/>
              </w:rPr>
            </w:pPr>
          </w:p>
          <w:p w:rsidR="00E34061" w:rsidRPr="00F83EBF" w:rsidRDefault="00E34061" w:rsidP="0028220D">
            <w:pPr>
              <w:rPr>
                <w:rFonts w:ascii="Calibri" w:eastAsia="Calibri" w:hAnsi="Calibri"/>
                <w:b/>
                <w:szCs w:val="24"/>
              </w:rPr>
            </w:pPr>
            <w:r w:rsidRPr="00F83EBF">
              <w:rPr>
                <w:rFonts w:ascii="Calibri" w:eastAsia="Calibri" w:hAnsi="Calibri"/>
                <w:b/>
                <w:szCs w:val="24"/>
              </w:rPr>
              <w:t>Section 2. Functions</w:t>
            </w:r>
          </w:p>
          <w:p w:rsidR="00E34061" w:rsidRPr="00F83EBF" w:rsidRDefault="00E34061" w:rsidP="00E34061">
            <w:pPr>
              <w:pStyle w:val="ListParagraph"/>
              <w:numPr>
                <w:ilvl w:val="0"/>
                <w:numId w:val="9"/>
              </w:numPr>
              <w:spacing w:after="0" w:line="240" w:lineRule="auto"/>
              <w:rPr>
                <w:sz w:val="24"/>
                <w:szCs w:val="24"/>
              </w:rPr>
            </w:pPr>
            <w:r w:rsidRPr="00F83EBF">
              <w:rPr>
                <w:sz w:val="24"/>
                <w:szCs w:val="24"/>
              </w:rPr>
              <w:t xml:space="preserve">The council shall recommend policy to the Assembly as it relates to the admission of undergraduate students to the College. </w:t>
            </w:r>
          </w:p>
          <w:p w:rsidR="00E34061" w:rsidRPr="00F83EBF" w:rsidRDefault="00E34061" w:rsidP="00E34061">
            <w:pPr>
              <w:pStyle w:val="ListParagraph"/>
              <w:numPr>
                <w:ilvl w:val="0"/>
                <w:numId w:val="9"/>
              </w:numPr>
              <w:spacing w:after="0" w:line="240" w:lineRule="auto"/>
              <w:rPr>
                <w:sz w:val="24"/>
                <w:szCs w:val="24"/>
              </w:rPr>
            </w:pPr>
            <w:r w:rsidRPr="00F83EBF">
              <w:rPr>
                <w:sz w:val="24"/>
                <w:szCs w:val="24"/>
              </w:rPr>
              <w:t xml:space="preserve">The council shall recommend policy to the Assembly on all matters pertaining to the welfare of students not directly concerned with classroom instruction, faculty research, or the public service function of the College. </w:t>
            </w:r>
          </w:p>
          <w:p w:rsidR="00E34061" w:rsidRPr="00F83EBF" w:rsidRDefault="00E34061" w:rsidP="00E34061">
            <w:pPr>
              <w:pStyle w:val="ListParagraph"/>
              <w:numPr>
                <w:ilvl w:val="0"/>
                <w:numId w:val="9"/>
              </w:numPr>
              <w:spacing w:after="0" w:line="240" w:lineRule="auto"/>
              <w:rPr>
                <w:sz w:val="24"/>
                <w:szCs w:val="24"/>
              </w:rPr>
            </w:pPr>
            <w:r w:rsidRPr="00F83EBF">
              <w:rPr>
                <w:sz w:val="24"/>
                <w:szCs w:val="24"/>
              </w:rPr>
              <w:t xml:space="preserve">Representatives from the Admissions and Student Services Council and the Information Technology Council shall meet at least once per semester, or more often as needed, to review the status of the work of these respective councils. </w:t>
            </w:r>
            <w:r w:rsidRPr="00F83EBF">
              <w:rPr>
                <w:sz w:val="24"/>
                <w:szCs w:val="24"/>
              </w:rPr>
              <w:br/>
            </w:r>
          </w:p>
        </w:tc>
        <w:tc>
          <w:tcPr>
            <w:tcW w:w="6588" w:type="dxa"/>
            <w:shd w:val="clear" w:color="auto" w:fill="EDEDED"/>
          </w:tcPr>
          <w:p w:rsidR="003562FF" w:rsidRDefault="003562FF" w:rsidP="0028220D">
            <w:pPr>
              <w:rPr>
                <w:rFonts w:ascii="Calibri" w:eastAsia="Calibri" w:hAnsi="Calibri"/>
                <w:b/>
                <w:szCs w:val="24"/>
              </w:rPr>
            </w:pPr>
          </w:p>
          <w:p w:rsidR="00E34061" w:rsidRPr="00F83EBF" w:rsidRDefault="00E34061" w:rsidP="0028220D">
            <w:pPr>
              <w:rPr>
                <w:rFonts w:ascii="Calibri" w:eastAsia="Calibri" w:hAnsi="Calibri"/>
                <w:b/>
                <w:szCs w:val="24"/>
              </w:rPr>
            </w:pPr>
            <w:r w:rsidRPr="00F83EBF">
              <w:rPr>
                <w:rFonts w:ascii="Calibri" w:eastAsia="Calibri" w:hAnsi="Calibri"/>
                <w:b/>
                <w:szCs w:val="24"/>
              </w:rPr>
              <w:t>Section 2. Functions</w:t>
            </w:r>
          </w:p>
          <w:p w:rsidR="00E34061" w:rsidRPr="00F83EBF" w:rsidRDefault="00E34061" w:rsidP="00E34061">
            <w:pPr>
              <w:pStyle w:val="ListParagraph"/>
              <w:numPr>
                <w:ilvl w:val="0"/>
                <w:numId w:val="10"/>
              </w:numPr>
              <w:spacing w:after="0" w:line="240" w:lineRule="auto"/>
              <w:rPr>
                <w:sz w:val="24"/>
                <w:szCs w:val="24"/>
              </w:rPr>
            </w:pPr>
            <w:r w:rsidRPr="00F83EBF">
              <w:rPr>
                <w:sz w:val="24"/>
                <w:szCs w:val="24"/>
              </w:rPr>
              <w:t>The council shall provide a formal vehicle for active dialog between members of the Assembly and members of the undergraduate and graduate student bodies.</w:t>
            </w:r>
          </w:p>
          <w:p w:rsidR="00E34061" w:rsidRPr="00F83EBF" w:rsidRDefault="00E34061" w:rsidP="00E34061">
            <w:pPr>
              <w:pStyle w:val="ListParagraph"/>
              <w:numPr>
                <w:ilvl w:val="0"/>
                <w:numId w:val="10"/>
              </w:numPr>
              <w:spacing w:after="0" w:line="240" w:lineRule="auto"/>
              <w:rPr>
                <w:sz w:val="24"/>
                <w:szCs w:val="24"/>
              </w:rPr>
            </w:pPr>
            <w:r w:rsidRPr="00F83EBF">
              <w:rPr>
                <w:sz w:val="24"/>
                <w:szCs w:val="24"/>
              </w:rPr>
              <w:t xml:space="preserve">Serving as a liaison between the Divisions of Student Affairs and Academic Affairs, the council shall bring student issues and concerns before the Assembly as appropriate in order to develop and recommend policy and/or procedures pertinent to both curricular and co-curricular activities. </w:t>
            </w:r>
          </w:p>
          <w:p w:rsidR="00E34061" w:rsidRPr="00EE3E23" w:rsidRDefault="00E34061" w:rsidP="00EE3E23">
            <w:pPr>
              <w:pStyle w:val="ListParagraph"/>
              <w:numPr>
                <w:ilvl w:val="0"/>
                <w:numId w:val="10"/>
              </w:numPr>
              <w:spacing w:after="0" w:line="240" w:lineRule="auto"/>
              <w:rPr>
                <w:sz w:val="24"/>
                <w:szCs w:val="24"/>
              </w:rPr>
            </w:pPr>
            <w:r w:rsidRPr="00F83EBF">
              <w:rPr>
                <w:sz w:val="24"/>
                <w:szCs w:val="24"/>
              </w:rPr>
              <w:t>The council shall be co-chaired by a faculty member (FA or Non-FA) and a student (FA or SA), and will meet at least twice each semester; council representatives should deliver a report to the Assembly at least once each semester in order to review the status of their works in progress.</w:t>
            </w:r>
          </w:p>
        </w:tc>
      </w:tr>
    </w:tbl>
    <w:p w:rsidR="00E34061" w:rsidRPr="007F480F" w:rsidRDefault="00E34061" w:rsidP="00E34061">
      <w:pPr>
        <w:rPr>
          <w:sz w:val="28"/>
          <w:szCs w:val="28"/>
        </w:rPr>
      </w:pPr>
    </w:p>
    <w:p w:rsidR="00EE3E23" w:rsidRPr="00EE3E23" w:rsidRDefault="00EE3E23" w:rsidP="003562FF">
      <w:pPr>
        <w:rPr>
          <w:b/>
          <w:sz w:val="28"/>
          <w:szCs w:val="28"/>
        </w:rPr>
      </w:pPr>
      <w:r w:rsidRPr="00EE3E23">
        <w:rPr>
          <w:b/>
          <w:sz w:val="28"/>
          <w:szCs w:val="28"/>
        </w:rPr>
        <w:t>Rationale:</w:t>
      </w:r>
    </w:p>
    <w:p w:rsidR="00EE3E23" w:rsidRPr="00EE3E23" w:rsidRDefault="00EE3E23" w:rsidP="00EE3E23">
      <w:pPr>
        <w:numPr>
          <w:ilvl w:val="0"/>
          <w:numId w:val="11"/>
        </w:numPr>
      </w:pPr>
      <w:r w:rsidRPr="00EE3E23">
        <w:t>Recommendation of Task Force on Shared Governance was elimination</w:t>
      </w:r>
    </w:p>
    <w:p w:rsidR="00E34061" w:rsidRDefault="00EE3E23" w:rsidP="00EE3E23">
      <w:pPr>
        <w:numPr>
          <w:ilvl w:val="0"/>
          <w:numId w:val="11"/>
        </w:numPr>
      </w:pPr>
      <w:r w:rsidRPr="00EE3E23">
        <w:t>Desire of body to keep council for student concerns</w:t>
      </w:r>
    </w:p>
    <w:p w:rsidR="00B045D1" w:rsidRDefault="00B045D1" w:rsidP="00B045D1"/>
    <w:p w:rsidR="00B045D1" w:rsidRDefault="00B045D1" w:rsidP="00B045D1">
      <w:pPr>
        <w:ind w:left="1440" w:hanging="1440"/>
        <w:rPr>
          <w:color w:val="7030A0"/>
          <w:sz w:val="28"/>
          <w:szCs w:val="28"/>
        </w:rPr>
      </w:pPr>
      <w:r w:rsidRPr="00EE3E23">
        <w:rPr>
          <w:b/>
          <w:color w:val="7030A0"/>
          <w:sz w:val="28"/>
          <w:szCs w:val="28"/>
        </w:rPr>
        <w:t xml:space="preserve">Motion </w:t>
      </w:r>
      <w:r>
        <w:rPr>
          <w:b/>
          <w:color w:val="7030A0"/>
          <w:sz w:val="28"/>
          <w:szCs w:val="28"/>
        </w:rPr>
        <w:t>3</w:t>
      </w:r>
      <w:r w:rsidRPr="00EE3E23">
        <w:rPr>
          <w:b/>
          <w:color w:val="7030A0"/>
          <w:sz w:val="28"/>
          <w:szCs w:val="28"/>
        </w:rPr>
        <w:t>:</w:t>
      </w:r>
      <w:r w:rsidRPr="00EE3E23">
        <w:rPr>
          <w:b/>
          <w:color w:val="7030A0"/>
          <w:sz w:val="28"/>
          <w:szCs w:val="28"/>
        </w:rPr>
        <w:tab/>
      </w:r>
      <w:r w:rsidRPr="00B045D1">
        <w:rPr>
          <w:color w:val="7030A0"/>
          <w:sz w:val="28"/>
          <w:szCs w:val="28"/>
        </w:rPr>
        <w:t>Article VIII</w:t>
      </w:r>
      <w:r>
        <w:rPr>
          <w:color w:val="7030A0"/>
          <w:sz w:val="28"/>
          <w:szCs w:val="28"/>
        </w:rPr>
        <w:t xml:space="preserve">, </w:t>
      </w:r>
      <w:r w:rsidRPr="00B045D1">
        <w:rPr>
          <w:color w:val="7030A0"/>
          <w:sz w:val="28"/>
          <w:szCs w:val="28"/>
        </w:rPr>
        <w:t xml:space="preserve">Assembly </w:t>
      </w:r>
      <w:r>
        <w:rPr>
          <w:color w:val="7030A0"/>
          <w:sz w:val="28"/>
          <w:szCs w:val="28"/>
        </w:rPr>
        <w:t>M</w:t>
      </w:r>
      <w:r w:rsidRPr="00B045D1">
        <w:rPr>
          <w:color w:val="7030A0"/>
          <w:sz w:val="28"/>
          <w:szCs w:val="28"/>
        </w:rPr>
        <w:t>embership)</w:t>
      </w:r>
      <w:r>
        <w:rPr>
          <w:color w:val="7030A0"/>
          <w:sz w:val="28"/>
          <w:szCs w:val="28"/>
        </w:rPr>
        <w:t>, S</w:t>
      </w:r>
      <w:r w:rsidRPr="00B045D1">
        <w:rPr>
          <w:color w:val="7030A0"/>
          <w:sz w:val="28"/>
          <w:szCs w:val="28"/>
        </w:rPr>
        <w:t>ection 3</w:t>
      </w:r>
      <w:r>
        <w:rPr>
          <w:color w:val="7030A0"/>
          <w:sz w:val="28"/>
          <w:szCs w:val="28"/>
        </w:rPr>
        <w:t>. R</w:t>
      </w:r>
      <w:r w:rsidRPr="00B045D1">
        <w:rPr>
          <w:color w:val="7030A0"/>
          <w:sz w:val="28"/>
          <w:szCs w:val="28"/>
        </w:rPr>
        <w:t xml:space="preserve">epresentation </w:t>
      </w:r>
      <w:r w:rsidRPr="00EE3E23">
        <w:rPr>
          <w:color w:val="7030A0"/>
          <w:sz w:val="28"/>
          <w:szCs w:val="28"/>
        </w:rPr>
        <w:t>as follows:</w:t>
      </w:r>
    </w:p>
    <w:p w:rsidR="00B045D1" w:rsidRPr="00B045D1" w:rsidRDefault="00B045D1" w:rsidP="00B045D1">
      <w:pPr>
        <w:widowControl w:val="0"/>
        <w:rPr>
          <w:color w:val="7030A0"/>
          <w:sz w:val="28"/>
          <w:szCs w:val="28"/>
        </w:rPr>
      </w:pPr>
    </w:p>
    <w:p w:rsidR="00B045D1" w:rsidRDefault="00B045D1" w:rsidP="00B045D1">
      <w:pPr>
        <w:rPr>
          <w:rFonts w:ascii="Calibri" w:eastAsia="Calibri" w:hAnsi="Calibri"/>
          <w:b/>
          <w:sz w:val="28"/>
          <w:szCs w:val="28"/>
        </w:rPr>
      </w:pPr>
      <w:r w:rsidRPr="00B045D1">
        <w:rPr>
          <w:rFonts w:ascii="Calibri" w:eastAsia="Calibri" w:hAnsi="Calibri"/>
          <w:b/>
          <w:sz w:val="28"/>
          <w:szCs w:val="28"/>
        </w:rPr>
        <w:t xml:space="preserve">Current language: </w:t>
      </w:r>
    </w:p>
    <w:p w:rsidR="00190EAA" w:rsidRPr="00B045D1" w:rsidRDefault="00190EAA" w:rsidP="00B045D1">
      <w:pPr>
        <w:rPr>
          <w:rFonts w:ascii="Calibri" w:eastAsia="Calibri" w:hAnsi="Calibri"/>
          <w:b/>
          <w:sz w:val="28"/>
          <w:szCs w:val="28"/>
        </w:rPr>
      </w:pPr>
    </w:p>
    <w:p w:rsidR="00B045D1" w:rsidRDefault="00B045D1" w:rsidP="00B045D1">
      <w:pPr>
        <w:widowControl w:val="0"/>
        <w:numPr>
          <w:ilvl w:val="0"/>
          <w:numId w:val="12"/>
        </w:numPr>
        <w:tabs>
          <w:tab w:val="left" w:pos="360"/>
        </w:tabs>
      </w:pPr>
      <w:r>
        <w:t>The Assembly shall include representation from each department as indicated from the table below:</w:t>
      </w:r>
    </w:p>
    <w:p w:rsidR="00B045D1" w:rsidRPr="00B045D1" w:rsidRDefault="00B045D1" w:rsidP="00B045D1">
      <w:pPr>
        <w:widowControl w:val="0"/>
        <w:ind w:left="1440"/>
        <w:rPr>
          <w:u w:val="single"/>
        </w:rPr>
      </w:pPr>
      <w:r w:rsidRPr="00B045D1">
        <w:rPr>
          <w:u w:val="single"/>
        </w:rPr>
        <w:t>Departmental FTE</w:t>
      </w:r>
      <w:r w:rsidRPr="00B045D1">
        <w:rPr>
          <w:u w:val="single"/>
        </w:rPr>
        <w:tab/>
      </w:r>
      <w:r w:rsidRPr="00B045D1">
        <w:rPr>
          <w:u w:val="single"/>
        </w:rPr>
        <w:tab/>
      </w:r>
      <w:r w:rsidRPr="00B045D1">
        <w:rPr>
          <w:u w:val="single"/>
        </w:rPr>
        <w:tab/>
      </w:r>
      <w:r w:rsidRPr="00B045D1">
        <w:rPr>
          <w:u w:val="single"/>
        </w:rPr>
        <w:tab/>
      </w:r>
      <w:r w:rsidRPr="00B045D1">
        <w:rPr>
          <w:u w:val="single"/>
        </w:rPr>
        <w:t>Representation</w:t>
      </w:r>
    </w:p>
    <w:p w:rsidR="00B045D1" w:rsidRDefault="00B045D1" w:rsidP="00B045D1">
      <w:pPr>
        <w:widowControl w:val="0"/>
        <w:ind w:left="1440"/>
      </w:pPr>
      <w:r>
        <w:t xml:space="preserve">16 or fewer </w:t>
      </w:r>
      <w:r>
        <w:tab/>
      </w:r>
      <w:r>
        <w:tab/>
      </w:r>
      <w:r>
        <w:tab/>
      </w:r>
      <w:r>
        <w:tab/>
      </w:r>
      <w:r>
        <w:tab/>
      </w:r>
      <w:r>
        <w:tab/>
      </w:r>
      <w:r>
        <w:t>1</w:t>
      </w:r>
    </w:p>
    <w:p w:rsidR="00B045D1" w:rsidRDefault="00B045D1" w:rsidP="00B045D1">
      <w:pPr>
        <w:widowControl w:val="0"/>
        <w:ind w:left="1440"/>
      </w:pPr>
      <w:r>
        <w:t xml:space="preserve">More than 16 but fewer than 31 </w:t>
      </w:r>
      <w:r>
        <w:tab/>
      </w:r>
      <w:r>
        <w:tab/>
      </w:r>
      <w:r>
        <w:tab/>
      </w:r>
      <w:r>
        <w:t>2</w:t>
      </w:r>
    </w:p>
    <w:p w:rsidR="00B045D1" w:rsidRDefault="00B045D1" w:rsidP="00B045D1">
      <w:pPr>
        <w:widowControl w:val="0"/>
        <w:ind w:left="1440"/>
      </w:pPr>
      <w:r>
        <w:t xml:space="preserve">31 or more </w:t>
      </w:r>
      <w:r>
        <w:tab/>
      </w:r>
      <w:r>
        <w:tab/>
      </w:r>
      <w:r>
        <w:tab/>
      </w:r>
      <w:r>
        <w:tab/>
      </w:r>
      <w:r>
        <w:tab/>
      </w:r>
      <w:r>
        <w:tab/>
      </w:r>
      <w:r>
        <w:t>3</w:t>
      </w:r>
    </w:p>
    <w:p w:rsidR="00B045D1" w:rsidRPr="00B045D1" w:rsidRDefault="00B045D1" w:rsidP="00B045D1">
      <w:pPr>
        <w:widowControl w:val="0"/>
        <w:rPr>
          <w:sz w:val="12"/>
          <w:szCs w:val="12"/>
        </w:rPr>
      </w:pPr>
    </w:p>
    <w:p w:rsidR="00B045D1" w:rsidRDefault="00B045D1" w:rsidP="00B045D1">
      <w:pPr>
        <w:widowControl w:val="0"/>
        <w:numPr>
          <w:ilvl w:val="0"/>
          <w:numId w:val="12"/>
        </w:numPr>
        <w:tabs>
          <w:tab w:val="left" w:pos="360"/>
        </w:tabs>
      </w:pPr>
      <w:r>
        <w:t>Departmental representation shall be based on departmental FTE. In determining departmental FTE, individuals who are full-time or part-time faculty, regardless of the type of appointment or rank, and regardless of whether or not they teach on- or off-campus shall be counted. The departmental FTE for the following academic year shall be based on the average of two FTE counts, the first taken on October 15 and the second taken on February 15 of the current academic year.</w:t>
      </w:r>
    </w:p>
    <w:p w:rsidR="00B045D1" w:rsidRDefault="00B045D1" w:rsidP="00B045D1">
      <w:pPr>
        <w:widowControl w:val="0"/>
      </w:pPr>
    </w:p>
    <w:p w:rsidR="00190EAA" w:rsidRDefault="00190EAA" w:rsidP="00B045D1">
      <w:pPr>
        <w:widowControl w:val="0"/>
      </w:pPr>
    </w:p>
    <w:p w:rsidR="00190EAA" w:rsidRDefault="00190EAA" w:rsidP="00B045D1">
      <w:pPr>
        <w:widowControl w:val="0"/>
      </w:pPr>
    </w:p>
    <w:p w:rsidR="00B045D1" w:rsidRDefault="00B045D1" w:rsidP="00B045D1">
      <w:pPr>
        <w:rPr>
          <w:rFonts w:ascii="Calibri" w:eastAsia="Calibri" w:hAnsi="Calibri"/>
          <w:b/>
          <w:sz w:val="28"/>
          <w:szCs w:val="28"/>
        </w:rPr>
      </w:pPr>
      <w:r w:rsidRPr="00B045D1">
        <w:rPr>
          <w:rFonts w:ascii="Calibri" w:eastAsia="Calibri" w:hAnsi="Calibri"/>
          <w:b/>
          <w:sz w:val="28"/>
          <w:szCs w:val="28"/>
        </w:rPr>
        <w:t>Proposed language:</w:t>
      </w:r>
    </w:p>
    <w:p w:rsidR="00190EAA" w:rsidRPr="00B045D1" w:rsidRDefault="00190EAA" w:rsidP="00B045D1">
      <w:pPr>
        <w:rPr>
          <w:rFonts w:ascii="Calibri" w:eastAsia="Calibri" w:hAnsi="Calibri"/>
          <w:b/>
          <w:sz w:val="28"/>
          <w:szCs w:val="28"/>
        </w:rPr>
      </w:pPr>
    </w:p>
    <w:p w:rsidR="00B045D1" w:rsidRDefault="00B045D1" w:rsidP="00B045D1">
      <w:pPr>
        <w:widowControl w:val="0"/>
        <w:numPr>
          <w:ilvl w:val="0"/>
          <w:numId w:val="13"/>
        </w:numPr>
        <w:tabs>
          <w:tab w:val="left" w:pos="360"/>
        </w:tabs>
      </w:pPr>
      <w:r>
        <w:t>The Assembly shall include representation from each department as indicated from the table below:</w:t>
      </w:r>
    </w:p>
    <w:p w:rsidR="00B045D1" w:rsidRDefault="00B045D1" w:rsidP="00D50E8C">
      <w:pPr>
        <w:widowControl w:val="0"/>
        <w:ind w:left="1440"/>
      </w:pPr>
      <w:r>
        <w:t xml:space="preserve">Department </w:t>
      </w:r>
      <w:r w:rsidR="00D50E8C">
        <w:t>count:</w:t>
      </w:r>
      <w:r w:rsidR="00D50E8C">
        <w:tab/>
      </w:r>
      <w:r>
        <w:t xml:space="preserve"> 20 or fewer = 1</w:t>
      </w:r>
    </w:p>
    <w:p w:rsidR="00B045D1" w:rsidRDefault="00B045D1" w:rsidP="00D50E8C">
      <w:pPr>
        <w:widowControl w:val="0"/>
        <w:ind w:left="1440"/>
      </w:pPr>
      <w:r>
        <w:tab/>
      </w:r>
      <w:r>
        <w:tab/>
      </w:r>
      <w:r>
        <w:tab/>
        <w:t xml:space="preserve"> 21 or </w:t>
      </w:r>
      <w:proofErr w:type="gramStart"/>
      <w:r>
        <w:t>more</w:t>
      </w:r>
      <w:r w:rsidR="00D50E8C">
        <w:t xml:space="preserve"> </w:t>
      </w:r>
      <w:r>
        <w:t xml:space="preserve"> =</w:t>
      </w:r>
      <w:proofErr w:type="gramEnd"/>
      <w:r>
        <w:t xml:space="preserve"> 2</w:t>
      </w:r>
    </w:p>
    <w:p w:rsidR="00B045D1" w:rsidRDefault="00B045D1" w:rsidP="00B045D1">
      <w:pPr>
        <w:widowControl w:val="0"/>
      </w:pPr>
    </w:p>
    <w:p w:rsidR="00B045D1" w:rsidRDefault="00B045D1" w:rsidP="00D50E8C">
      <w:pPr>
        <w:widowControl w:val="0"/>
        <w:numPr>
          <w:ilvl w:val="0"/>
          <w:numId w:val="13"/>
        </w:numPr>
        <w:tabs>
          <w:tab w:val="left" w:pos="360"/>
        </w:tabs>
      </w:pPr>
      <w:r>
        <w:t xml:space="preserve">Departmental representation shall be based on tenure/tenure-track faculty, visiting assistant professors and qualified voting faculty. The departmental number for the following academic year shall be based on the average of the counts from the fall and spring voting </w:t>
      </w:r>
      <w:r w:rsidR="00D50E8C">
        <w:t xml:space="preserve">faculty </w:t>
      </w:r>
      <w:r>
        <w:t>lists of the current academic year.</w:t>
      </w:r>
      <w:r>
        <w:tab/>
      </w:r>
    </w:p>
    <w:p w:rsidR="00B045D1" w:rsidRDefault="00B045D1" w:rsidP="00B045D1">
      <w:pPr>
        <w:widowControl w:val="0"/>
      </w:pPr>
    </w:p>
    <w:p w:rsidR="00B045D1" w:rsidRPr="00D50E8C" w:rsidRDefault="00B045D1" w:rsidP="00D50E8C">
      <w:pPr>
        <w:rPr>
          <w:b/>
          <w:sz w:val="28"/>
          <w:szCs w:val="28"/>
        </w:rPr>
      </w:pPr>
      <w:r w:rsidRPr="00D50E8C">
        <w:rPr>
          <w:b/>
          <w:sz w:val="28"/>
          <w:szCs w:val="28"/>
        </w:rPr>
        <w:t>Rationale:</w:t>
      </w:r>
    </w:p>
    <w:p w:rsidR="00B045D1" w:rsidRDefault="00B045D1" w:rsidP="00D50E8C">
      <w:pPr>
        <w:numPr>
          <w:ilvl w:val="0"/>
          <w:numId w:val="14"/>
        </w:numPr>
      </w:pPr>
      <w:r>
        <w:t>FTE is an unworkable number.</w:t>
      </w:r>
    </w:p>
    <w:p w:rsidR="00B045D1" w:rsidRDefault="00B045D1" w:rsidP="00D50E8C">
      <w:pPr>
        <w:numPr>
          <w:ilvl w:val="0"/>
          <w:numId w:val="14"/>
        </w:numPr>
      </w:pPr>
      <w:r>
        <w:t>This system will allow one-quarter of FA to have more than one representative, as is currently in place.</w:t>
      </w:r>
    </w:p>
    <w:p w:rsidR="00B045D1" w:rsidRDefault="00B045D1" w:rsidP="00D50E8C">
      <w:pPr>
        <w:numPr>
          <w:ilvl w:val="0"/>
          <w:numId w:val="14"/>
        </w:numPr>
      </w:pPr>
      <w:r>
        <w:t xml:space="preserve">This accounts for all </w:t>
      </w:r>
      <w:proofErr w:type="gramStart"/>
      <w:r>
        <w:t>faculty</w:t>
      </w:r>
      <w:proofErr w:type="gramEnd"/>
      <w:r>
        <w:t xml:space="preserve"> who have voting privileges within the current system.</w:t>
      </w:r>
    </w:p>
    <w:p w:rsidR="00B045D1" w:rsidRPr="00EE3E23" w:rsidRDefault="00B045D1" w:rsidP="00B045D1">
      <w:pPr>
        <w:rPr>
          <w:color w:val="7030A0"/>
          <w:sz w:val="28"/>
          <w:szCs w:val="28"/>
        </w:rPr>
      </w:pPr>
    </w:p>
    <w:p w:rsidR="00B045D1" w:rsidRDefault="00B045D1" w:rsidP="00B045D1"/>
    <w:p w:rsidR="00190EAA" w:rsidRDefault="00190EAA" w:rsidP="00B045D1"/>
    <w:p w:rsidR="00190EAA" w:rsidRDefault="00190EAA" w:rsidP="00B045D1"/>
    <w:p w:rsidR="00190EAA" w:rsidRDefault="00190EAA" w:rsidP="00B045D1">
      <w:bookmarkStart w:id="0" w:name="_GoBack"/>
      <w:bookmarkEnd w:id="0"/>
    </w:p>
    <w:p w:rsidR="00190EAA" w:rsidRDefault="00190EAA" w:rsidP="00B045D1"/>
    <w:p w:rsidR="00190EAA" w:rsidRDefault="00190EAA" w:rsidP="00B045D1"/>
    <w:p w:rsidR="00190EAA" w:rsidRPr="00190EAA" w:rsidRDefault="00190EAA" w:rsidP="00190E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8" w:lineRule="auto"/>
        <w:jc w:val="center"/>
        <w:rPr>
          <w:b/>
          <w:sz w:val="20"/>
        </w:rPr>
      </w:pPr>
      <w:r w:rsidRPr="00190EAA">
        <w:rPr>
          <w:b/>
          <w:sz w:val="20"/>
        </w:rPr>
        <w:t>(OVER)</w:t>
      </w:r>
    </w:p>
    <w:sectPr w:rsidR="00190EAA" w:rsidRPr="00190EAA" w:rsidSect="00EE3E23">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19A3084"/>
    <w:multiLevelType w:val="hybridMultilevel"/>
    <w:tmpl w:val="0B66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22C9C"/>
    <w:multiLevelType w:val="hybridMultilevel"/>
    <w:tmpl w:val="4AA402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861B3"/>
    <w:multiLevelType w:val="hybridMultilevel"/>
    <w:tmpl w:val="F4B2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B4CEF"/>
    <w:multiLevelType w:val="hybridMultilevel"/>
    <w:tmpl w:val="43BCF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F6AE9"/>
    <w:multiLevelType w:val="hybridMultilevel"/>
    <w:tmpl w:val="6BC84A3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A539AE"/>
    <w:multiLevelType w:val="hybridMultilevel"/>
    <w:tmpl w:val="B4D6163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5A33C07"/>
    <w:multiLevelType w:val="hybridMultilevel"/>
    <w:tmpl w:val="B4D6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14AB0"/>
    <w:multiLevelType w:val="hybridMultilevel"/>
    <w:tmpl w:val="03C29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97F28"/>
    <w:multiLevelType w:val="hybridMultilevel"/>
    <w:tmpl w:val="EEDA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7C44AF"/>
    <w:multiLevelType w:val="hybridMultilevel"/>
    <w:tmpl w:val="03C29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903141"/>
    <w:multiLevelType w:val="hybridMultilevel"/>
    <w:tmpl w:val="6C78D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C55805"/>
    <w:multiLevelType w:val="hybridMultilevel"/>
    <w:tmpl w:val="03C29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52524D"/>
    <w:multiLevelType w:val="hybridMultilevel"/>
    <w:tmpl w:val="6BC84A3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1"/>
  </w:num>
  <w:num w:numId="4">
    <w:abstractNumId w:val="7"/>
  </w:num>
  <w:num w:numId="5">
    <w:abstractNumId w:val="6"/>
  </w:num>
  <w:num w:numId="6">
    <w:abstractNumId w:val="0"/>
  </w:num>
  <w:num w:numId="7">
    <w:abstractNumId w:val="2"/>
  </w:num>
  <w:num w:numId="8">
    <w:abstractNumId w:val="8"/>
  </w:num>
  <w:num w:numId="9">
    <w:abstractNumId w:val="11"/>
  </w:num>
  <w:num w:numId="10">
    <w:abstractNumId w:val="4"/>
  </w:num>
  <w:num w:numId="11">
    <w:abstractNumId w:val="10"/>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C69"/>
    <w:rsid w:val="00190EAA"/>
    <w:rsid w:val="001F4C69"/>
    <w:rsid w:val="003562FF"/>
    <w:rsid w:val="00361182"/>
    <w:rsid w:val="00657AED"/>
    <w:rsid w:val="00B045D1"/>
    <w:rsid w:val="00D50E8C"/>
    <w:rsid w:val="00E34061"/>
    <w:rsid w:val="00EE3E23"/>
    <w:rsid w:val="00FA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rsid w:val="00E3406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540"/>
    </w:pPr>
  </w:style>
  <w:style w:type="paragraph" w:customStyle="1" w:styleId="ListParagra">
    <w:name w:val="List Paragra"/>
    <w:basedOn w:val="Normal"/>
    <w:rsid w:val="00E34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uto"/>
      <w:ind w:left="720"/>
    </w:pPr>
    <w:rPr>
      <w:rFonts w:ascii="Calibri" w:hAnsi="Calibri"/>
      <w:sz w:val="22"/>
    </w:rPr>
  </w:style>
  <w:style w:type="paragraph" w:styleId="ListParagraph">
    <w:name w:val="List Paragraph"/>
    <w:basedOn w:val="Normal"/>
    <w:uiPriority w:val="34"/>
    <w:qFormat/>
    <w:rsid w:val="00E34061"/>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9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873</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 Carroll</dc:creator>
  <cp:lastModifiedBy>Joan M Carroll</cp:lastModifiedBy>
  <cp:revision>5</cp:revision>
  <cp:lastPrinted>2015-04-06T16:38:00Z</cp:lastPrinted>
  <dcterms:created xsi:type="dcterms:W3CDTF">2015-04-02T13:27:00Z</dcterms:created>
  <dcterms:modified xsi:type="dcterms:W3CDTF">2015-04-06T16:55:00Z</dcterms:modified>
</cp:coreProperties>
</file>