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F5" w:rsidRDefault="001A30F5" w:rsidP="001A30F5">
      <w:pPr>
        <w:widowControl w:val="0"/>
        <w:jc w:val="right"/>
      </w:pPr>
      <w:r>
        <w:t xml:space="preserve">November </w:t>
      </w:r>
      <w:r>
        <w:t>24</w:t>
      </w:r>
      <w:r>
        <w:t>, 2014</w:t>
      </w:r>
    </w:p>
    <w:p w:rsidR="001A30F5" w:rsidRDefault="001A30F5">
      <w:pPr>
        <w:widowControl w:val="0"/>
      </w:pPr>
    </w:p>
    <w:p w:rsidR="00000000" w:rsidRDefault="0054440E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To: </w:t>
      </w:r>
      <w:r w:rsidR="001A30F5">
        <w:tab/>
      </w:r>
      <w:r>
        <w:t>Faculty Assembly</w:t>
      </w:r>
    </w:p>
    <w:p w:rsidR="00000000" w:rsidRDefault="0054440E">
      <w:pPr>
        <w:widowControl w:val="0"/>
      </w:pPr>
      <w:r>
        <w:t xml:space="preserve">From: </w:t>
      </w:r>
      <w:r w:rsidR="001A30F5">
        <w:tab/>
      </w:r>
      <w:r>
        <w:t>Personnel Policies Council</w:t>
      </w:r>
    </w:p>
    <w:p w:rsidR="00000000" w:rsidRDefault="0054440E">
      <w:pPr>
        <w:widowControl w:val="0"/>
      </w:pPr>
      <w:r>
        <w:t xml:space="preserve">Re: </w:t>
      </w:r>
      <w:r w:rsidR="001A30F5">
        <w:tab/>
      </w:r>
      <w:r>
        <w:t>Proposed Revisions to Faculty Bylaws</w:t>
      </w:r>
    </w:p>
    <w:p w:rsidR="00000000" w:rsidRDefault="0054440E">
      <w:pPr>
        <w:widowControl w:val="0"/>
      </w:pPr>
    </w:p>
    <w:p w:rsidR="001A30F5" w:rsidRDefault="001A30F5">
      <w:pPr>
        <w:widowControl w:val="0"/>
      </w:pPr>
      <w:r>
        <w:rPr>
          <w:b/>
        </w:rPr>
        <w:t xml:space="preserve">Motion: </w:t>
      </w:r>
      <w:r w:rsidR="0054440E">
        <w:t xml:space="preserve">Changes to </w:t>
      </w:r>
      <w:r w:rsidR="0054440E" w:rsidRPr="0054440E">
        <w:rPr>
          <w:b/>
        </w:rPr>
        <w:t>Article VIII</w:t>
      </w:r>
      <w:r w:rsidR="0054440E">
        <w:t xml:space="preserve"> (Assembly </w:t>
      </w:r>
      <w:r w:rsidR="0035175D">
        <w:t>M</w:t>
      </w:r>
      <w:r w:rsidR="0054440E">
        <w:t xml:space="preserve">embership), </w:t>
      </w:r>
      <w:r w:rsidR="0035175D" w:rsidRPr="0054440E">
        <w:rPr>
          <w:b/>
        </w:rPr>
        <w:t>Section 3</w:t>
      </w:r>
      <w:r w:rsidR="0035175D">
        <w:t xml:space="preserve"> (R</w:t>
      </w:r>
      <w:r w:rsidR="0054440E">
        <w:t>epresentation</w:t>
      </w:r>
      <w:r w:rsidR="0035175D">
        <w:t>)</w:t>
      </w:r>
    </w:p>
    <w:p w:rsidR="0054440E" w:rsidRDefault="0054440E">
      <w:pPr>
        <w:widowControl w:val="0"/>
      </w:pPr>
    </w:p>
    <w:p w:rsidR="00000000" w:rsidRPr="001A30F5" w:rsidRDefault="0054440E">
      <w:pPr>
        <w:widowControl w:val="0"/>
        <w:rPr>
          <w:b/>
        </w:rPr>
      </w:pPr>
      <w:r w:rsidRPr="001A30F5">
        <w:rPr>
          <w:b/>
        </w:rPr>
        <w:t xml:space="preserve">Current language: </w:t>
      </w:r>
    </w:p>
    <w:p w:rsidR="00000000" w:rsidRPr="0054440E" w:rsidRDefault="0054440E" w:rsidP="001A30F5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54440E">
        <w:rPr>
          <w:sz w:val="22"/>
          <w:szCs w:val="22"/>
        </w:rPr>
        <w:t>The Assembly shal</w:t>
      </w:r>
      <w:r w:rsidRPr="0054440E">
        <w:rPr>
          <w:sz w:val="22"/>
          <w:szCs w:val="22"/>
        </w:rPr>
        <w:t>l include representation from each department as indicated from the table below:</w:t>
      </w:r>
    </w:p>
    <w:p w:rsidR="00000000" w:rsidRPr="0054440E" w:rsidRDefault="0054440E" w:rsidP="001A30F5">
      <w:pPr>
        <w:widowControl w:val="0"/>
        <w:ind w:left="2160"/>
        <w:rPr>
          <w:sz w:val="22"/>
          <w:szCs w:val="22"/>
        </w:rPr>
      </w:pPr>
      <w:r w:rsidRPr="0054440E">
        <w:rPr>
          <w:sz w:val="22"/>
          <w:szCs w:val="22"/>
          <w:u w:val="single"/>
        </w:rPr>
        <w:t>Departmental FTE</w:t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Pr="0054440E">
        <w:rPr>
          <w:sz w:val="22"/>
          <w:szCs w:val="22"/>
          <w:u w:val="single"/>
        </w:rPr>
        <w:t>Representation</w:t>
      </w:r>
    </w:p>
    <w:p w:rsidR="00000000" w:rsidRPr="0054440E" w:rsidRDefault="0054440E" w:rsidP="001A30F5">
      <w:pPr>
        <w:widowControl w:val="0"/>
        <w:ind w:left="1440" w:firstLine="720"/>
        <w:rPr>
          <w:sz w:val="22"/>
          <w:szCs w:val="22"/>
        </w:rPr>
      </w:pPr>
      <w:r w:rsidRPr="0054440E">
        <w:rPr>
          <w:sz w:val="22"/>
          <w:szCs w:val="22"/>
        </w:rPr>
        <w:t xml:space="preserve">16 or fewer </w:t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Pr="0054440E">
        <w:rPr>
          <w:sz w:val="22"/>
          <w:szCs w:val="22"/>
        </w:rPr>
        <w:t>1</w:t>
      </w:r>
    </w:p>
    <w:p w:rsidR="00000000" w:rsidRPr="0054440E" w:rsidRDefault="0054440E" w:rsidP="001A30F5">
      <w:pPr>
        <w:widowControl w:val="0"/>
        <w:ind w:left="1440" w:firstLine="720"/>
        <w:rPr>
          <w:sz w:val="22"/>
          <w:szCs w:val="22"/>
        </w:rPr>
      </w:pPr>
      <w:r w:rsidRPr="0054440E">
        <w:rPr>
          <w:sz w:val="22"/>
          <w:szCs w:val="22"/>
        </w:rPr>
        <w:t xml:space="preserve">More than 16 but fewer than 31 </w:t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40E">
        <w:rPr>
          <w:sz w:val="22"/>
          <w:szCs w:val="22"/>
        </w:rPr>
        <w:t>2</w:t>
      </w:r>
    </w:p>
    <w:p w:rsidR="00000000" w:rsidRPr="0054440E" w:rsidRDefault="0054440E" w:rsidP="001A30F5">
      <w:pPr>
        <w:widowControl w:val="0"/>
        <w:spacing w:after="120"/>
        <w:ind w:left="1440" w:firstLine="720"/>
        <w:rPr>
          <w:sz w:val="22"/>
          <w:szCs w:val="22"/>
        </w:rPr>
      </w:pPr>
      <w:r w:rsidRPr="0054440E">
        <w:rPr>
          <w:sz w:val="22"/>
          <w:szCs w:val="22"/>
        </w:rPr>
        <w:t xml:space="preserve">31 or more </w:t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="001A30F5" w:rsidRPr="0054440E">
        <w:rPr>
          <w:sz w:val="22"/>
          <w:szCs w:val="22"/>
        </w:rPr>
        <w:tab/>
      </w:r>
      <w:r w:rsidRPr="0054440E">
        <w:rPr>
          <w:sz w:val="22"/>
          <w:szCs w:val="22"/>
        </w:rPr>
        <w:t>3</w:t>
      </w:r>
    </w:p>
    <w:p w:rsidR="001A30F5" w:rsidRPr="0054440E" w:rsidRDefault="0054440E" w:rsidP="001A30F5">
      <w:pPr>
        <w:widowControl w:val="0"/>
        <w:numPr>
          <w:ilvl w:val="0"/>
          <w:numId w:val="1"/>
        </w:numPr>
        <w:spacing w:after="120"/>
        <w:rPr>
          <w:sz w:val="22"/>
          <w:szCs w:val="22"/>
        </w:rPr>
      </w:pPr>
      <w:r w:rsidRPr="0054440E">
        <w:rPr>
          <w:sz w:val="22"/>
          <w:szCs w:val="22"/>
        </w:rPr>
        <w:t>Departmental representation shall be based on departmental FTE. In determini</w:t>
      </w:r>
      <w:r w:rsidRPr="0054440E">
        <w:rPr>
          <w:sz w:val="22"/>
          <w:szCs w:val="22"/>
        </w:rPr>
        <w:t>ng departmental FTE, individuals who are full-time or part-time faculty, regardless of the type of appointment or rank, and regardless of whether or not they teach on- or off-campus shall be counted. The departmental FTE for the following academic year sha</w:t>
      </w:r>
      <w:r w:rsidRPr="0054440E">
        <w:rPr>
          <w:sz w:val="22"/>
          <w:szCs w:val="22"/>
        </w:rPr>
        <w:t>ll be based on the average of two FTE counts, the first taken on October 15 and the second taken on February 15 of the current academic year.</w:t>
      </w:r>
    </w:p>
    <w:p w:rsidR="001A30F5" w:rsidRPr="0054440E" w:rsidRDefault="0054440E" w:rsidP="001A30F5">
      <w:pPr>
        <w:widowControl w:val="0"/>
        <w:numPr>
          <w:ilvl w:val="0"/>
          <w:numId w:val="1"/>
        </w:numPr>
        <w:spacing w:after="120"/>
        <w:rPr>
          <w:sz w:val="22"/>
          <w:szCs w:val="22"/>
        </w:rPr>
      </w:pPr>
      <w:r w:rsidRPr="0054440E">
        <w:rPr>
          <w:sz w:val="22"/>
          <w:szCs w:val="22"/>
        </w:rPr>
        <w:t>Members of the administration with management confidential status shall constitute the Administrative Group</w:t>
      </w:r>
      <w:r w:rsidRPr="0054440E">
        <w:rPr>
          <w:sz w:val="22"/>
          <w:szCs w:val="22"/>
        </w:rPr>
        <w:t>. This group shall have representation in the Faculty Assembly based on the table in section (a) above.</w:t>
      </w:r>
    </w:p>
    <w:p w:rsidR="00000000" w:rsidRPr="0054440E" w:rsidRDefault="0054440E" w:rsidP="001A30F5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54440E">
        <w:rPr>
          <w:sz w:val="22"/>
          <w:szCs w:val="22"/>
        </w:rPr>
        <w:t>Members of the professional staff on term or permanent appointment shall constitute the Professional Staff Group. This group shall have represent</w:t>
      </w:r>
      <w:r w:rsidRPr="0054440E">
        <w:rPr>
          <w:sz w:val="22"/>
          <w:szCs w:val="22"/>
        </w:rPr>
        <w:t>ation in the Faculty Assembly based on the table in section (a) above.</w:t>
      </w:r>
      <w:r w:rsidRPr="0054440E">
        <w:rPr>
          <w:sz w:val="22"/>
          <w:szCs w:val="22"/>
        </w:rPr>
        <w:tab/>
      </w:r>
      <w:r w:rsidRPr="0054440E">
        <w:rPr>
          <w:sz w:val="22"/>
          <w:szCs w:val="22"/>
        </w:rPr>
        <w:tab/>
      </w:r>
    </w:p>
    <w:p w:rsidR="00000000" w:rsidRDefault="0054440E">
      <w:pPr>
        <w:widowControl w:val="0"/>
      </w:pPr>
    </w:p>
    <w:p w:rsidR="001A30F5" w:rsidRDefault="0054440E">
      <w:pPr>
        <w:widowControl w:val="0"/>
        <w:rPr>
          <w:b/>
        </w:rPr>
      </w:pPr>
      <w:r>
        <w:rPr>
          <w:b/>
        </w:rPr>
        <w:t xml:space="preserve">Proposed </w:t>
      </w:r>
      <w:r>
        <w:rPr>
          <w:b/>
        </w:rPr>
        <w:t xml:space="preserve">language: </w:t>
      </w:r>
    </w:p>
    <w:p w:rsidR="0035175D" w:rsidRPr="0054440E" w:rsidRDefault="0054440E" w:rsidP="0035175D">
      <w:pPr>
        <w:widowControl w:val="0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54440E">
        <w:rPr>
          <w:b/>
          <w:sz w:val="22"/>
          <w:szCs w:val="22"/>
        </w:rPr>
        <w:t>The Assembly shall include one faculty representative from each department.</w:t>
      </w:r>
    </w:p>
    <w:p w:rsidR="00000000" w:rsidRPr="0054440E" w:rsidRDefault="0054440E" w:rsidP="0035175D">
      <w:pPr>
        <w:widowControl w:val="0"/>
        <w:numPr>
          <w:ilvl w:val="0"/>
          <w:numId w:val="4"/>
        </w:numPr>
        <w:spacing w:after="120"/>
        <w:rPr>
          <w:sz w:val="22"/>
          <w:szCs w:val="22"/>
        </w:rPr>
      </w:pPr>
      <w:r w:rsidRPr="0054440E">
        <w:rPr>
          <w:b/>
          <w:sz w:val="22"/>
          <w:szCs w:val="22"/>
        </w:rPr>
        <w:t xml:space="preserve">The chair of IPAC or </w:t>
      </w:r>
      <w:r w:rsidR="0035175D" w:rsidRPr="0054440E">
        <w:rPr>
          <w:b/>
          <w:sz w:val="22"/>
          <w:szCs w:val="22"/>
        </w:rPr>
        <w:t xml:space="preserve">an IPAC </w:t>
      </w:r>
      <w:r w:rsidRPr="0054440E">
        <w:rPr>
          <w:b/>
          <w:sz w:val="22"/>
          <w:szCs w:val="22"/>
        </w:rPr>
        <w:t xml:space="preserve">designee shall serve as </w:t>
      </w:r>
      <w:r w:rsidRPr="0054440E">
        <w:rPr>
          <w:b/>
          <w:sz w:val="22"/>
          <w:szCs w:val="22"/>
        </w:rPr>
        <w:t>representative for all interdisciplinary programs.</w:t>
      </w:r>
    </w:p>
    <w:p w:rsidR="0035175D" w:rsidRPr="0054440E" w:rsidRDefault="0035175D" w:rsidP="0035175D">
      <w:pPr>
        <w:widowControl w:val="0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54440E">
        <w:rPr>
          <w:sz w:val="22"/>
          <w:szCs w:val="22"/>
        </w:rPr>
        <w:t xml:space="preserve">Members of the administration with management confidential status shall constitute the Administrative Group. This group shall have </w:t>
      </w:r>
      <w:r w:rsidRPr="0054440E">
        <w:rPr>
          <w:b/>
          <w:sz w:val="22"/>
          <w:szCs w:val="22"/>
        </w:rPr>
        <w:t>two representatives.</w:t>
      </w:r>
    </w:p>
    <w:p w:rsidR="0035175D" w:rsidRPr="0054440E" w:rsidRDefault="0035175D" w:rsidP="0035175D">
      <w:pPr>
        <w:widowControl w:val="0"/>
        <w:numPr>
          <w:ilvl w:val="0"/>
          <w:numId w:val="4"/>
        </w:numPr>
        <w:rPr>
          <w:sz w:val="22"/>
          <w:szCs w:val="22"/>
        </w:rPr>
      </w:pPr>
      <w:r w:rsidRPr="0054440E">
        <w:rPr>
          <w:sz w:val="22"/>
          <w:szCs w:val="22"/>
        </w:rPr>
        <w:t xml:space="preserve">Members of the professional staff on term or permanent appointment shall constitute the Professional Staff Group. This group shall have </w:t>
      </w:r>
      <w:r w:rsidRPr="0054440E">
        <w:rPr>
          <w:b/>
          <w:sz w:val="22"/>
          <w:szCs w:val="22"/>
        </w:rPr>
        <w:t>four representatives.</w:t>
      </w:r>
    </w:p>
    <w:p w:rsidR="00000000" w:rsidRDefault="0054440E">
      <w:pPr>
        <w:widowControl w:val="0"/>
      </w:pPr>
    </w:p>
    <w:p w:rsidR="00000000" w:rsidRPr="0035175D" w:rsidRDefault="0054440E">
      <w:pPr>
        <w:widowControl w:val="0"/>
        <w:rPr>
          <w:b/>
        </w:rPr>
      </w:pPr>
      <w:r w:rsidRPr="0035175D">
        <w:rPr>
          <w:b/>
        </w:rPr>
        <w:t>Rationale:</w:t>
      </w:r>
    </w:p>
    <w:p w:rsidR="00000000" w:rsidRPr="0054440E" w:rsidRDefault="0054440E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>Recommendation of Task Force on Shared Governance, Committee Structure</w:t>
      </w:r>
      <w:r w:rsidRPr="0054440E">
        <w:rPr>
          <w:sz w:val="22"/>
          <w:szCs w:val="22"/>
        </w:rPr>
        <w:t xml:space="preserve"> and Collaboration.</w:t>
      </w:r>
    </w:p>
    <w:p w:rsidR="00000000" w:rsidRPr="0054440E" w:rsidRDefault="00FA411C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 xml:space="preserve">The calculation </w:t>
      </w:r>
      <w:r w:rsidR="0054440E" w:rsidRPr="0054440E">
        <w:rPr>
          <w:sz w:val="22"/>
          <w:szCs w:val="22"/>
        </w:rPr>
        <w:t xml:space="preserve">of faculty FTE </w:t>
      </w:r>
      <w:r w:rsidR="0054440E" w:rsidRPr="0054440E">
        <w:rPr>
          <w:sz w:val="22"/>
          <w:szCs w:val="22"/>
        </w:rPr>
        <w:t>is problematic.</w:t>
      </w:r>
    </w:p>
    <w:p w:rsidR="00000000" w:rsidRDefault="0054440E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>PPC favors the Senate model over the Representative model (or, equal representation over proportional representation). Determining effective and accurate faculty representation</w:t>
      </w:r>
      <w:r w:rsidRPr="0054440E">
        <w:rPr>
          <w:sz w:val="22"/>
          <w:szCs w:val="22"/>
        </w:rPr>
        <w:t xml:space="preserve"> is difficult using FTE as a basis for these numbers.</w:t>
      </w:r>
    </w:p>
    <w:p w:rsidR="0054440E" w:rsidRDefault="0054440E" w:rsidP="0054440E">
      <w:pPr>
        <w:widowControl w:val="0"/>
        <w:tabs>
          <w:tab w:val="left" w:pos="540"/>
        </w:tabs>
        <w:spacing w:after="120"/>
        <w:rPr>
          <w:sz w:val="22"/>
          <w:szCs w:val="22"/>
        </w:rPr>
      </w:pPr>
    </w:p>
    <w:p w:rsidR="0054440E" w:rsidRPr="0054440E" w:rsidRDefault="0054440E" w:rsidP="0054440E">
      <w:pPr>
        <w:widowControl w:val="0"/>
        <w:tabs>
          <w:tab w:val="left" w:pos="540"/>
        </w:tabs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over</w:t>
      </w:r>
      <w:proofErr w:type="gramEnd"/>
      <w:r>
        <w:rPr>
          <w:rFonts w:asciiTheme="minorHAnsi" w:hAnsiTheme="minorHAnsi"/>
          <w:sz w:val="22"/>
          <w:szCs w:val="22"/>
        </w:rPr>
        <w:t>)</w:t>
      </w:r>
    </w:p>
    <w:p w:rsidR="0054440E" w:rsidRPr="0054440E" w:rsidRDefault="0054440E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>A representative model would allow departments to redeploy service hours more productively.</w:t>
      </w:r>
    </w:p>
    <w:p w:rsidR="0054440E" w:rsidRPr="0054440E" w:rsidRDefault="0054440E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 xml:space="preserve">There have been </w:t>
      </w:r>
      <w:r w:rsidRPr="0054440E">
        <w:rPr>
          <w:sz w:val="22"/>
          <w:szCs w:val="22"/>
        </w:rPr>
        <w:t>repeated instances in recent history of having less than 2/3 of the voting membership in attendance, which ha</w:t>
      </w:r>
      <w:r>
        <w:rPr>
          <w:sz w:val="22"/>
          <w:szCs w:val="22"/>
        </w:rPr>
        <w:t>ve</w:t>
      </w:r>
      <w:bookmarkStart w:id="0" w:name="_GoBack"/>
      <w:bookmarkEnd w:id="0"/>
      <w:r w:rsidRPr="0054440E">
        <w:rPr>
          <w:sz w:val="22"/>
          <w:szCs w:val="22"/>
        </w:rPr>
        <w:t xml:space="preserve"> made it impossible to vote on bylaws revisions.</w:t>
      </w:r>
    </w:p>
    <w:p w:rsidR="00000000" w:rsidRPr="0054440E" w:rsidRDefault="0054440E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>Professional sta</w:t>
      </w:r>
      <w:r w:rsidRPr="0054440E">
        <w:rPr>
          <w:sz w:val="22"/>
          <w:szCs w:val="22"/>
        </w:rPr>
        <w:t>ff has increased on campus; as such, their number should reflect that change.</w:t>
      </w:r>
    </w:p>
    <w:p w:rsidR="00000000" w:rsidRPr="0054440E" w:rsidRDefault="006301CF" w:rsidP="0054440E">
      <w:pPr>
        <w:widowControl w:val="0"/>
        <w:numPr>
          <w:ilvl w:val="0"/>
          <w:numId w:val="5"/>
        </w:numPr>
        <w:tabs>
          <w:tab w:val="left" w:pos="540"/>
        </w:tabs>
        <w:spacing w:after="120"/>
        <w:ind w:left="547"/>
        <w:rPr>
          <w:sz w:val="22"/>
          <w:szCs w:val="22"/>
        </w:rPr>
      </w:pPr>
      <w:r w:rsidRPr="0054440E">
        <w:rPr>
          <w:sz w:val="22"/>
          <w:szCs w:val="22"/>
        </w:rPr>
        <w:t>The feature</w:t>
      </w:r>
      <w:r w:rsidR="0054440E" w:rsidRPr="0054440E">
        <w:rPr>
          <w:sz w:val="22"/>
          <w:szCs w:val="22"/>
        </w:rPr>
        <w:t xml:space="preserve"> of an IPAC representative has been contested. We are following the recommendation of the Task Force on Shared Governance, and recognize the challenges this presen</w:t>
      </w:r>
      <w:r w:rsidR="0054440E" w:rsidRPr="0054440E">
        <w:rPr>
          <w:sz w:val="22"/>
          <w:szCs w:val="22"/>
        </w:rPr>
        <w:t>ts.</w:t>
      </w:r>
    </w:p>
    <w:p w:rsidR="00000000" w:rsidRDefault="0054440E">
      <w:pPr>
        <w:widowControl w:val="0"/>
      </w:pPr>
    </w:p>
    <w:p w:rsidR="00000000" w:rsidRDefault="0054440E">
      <w:pPr>
        <w:widowControl w:val="0"/>
      </w:pPr>
    </w:p>
    <w:p w:rsidR="00000000" w:rsidRDefault="0054440E">
      <w:pPr>
        <w:widowControl w:val="0"/>
      </w:pPr>
      <w:r>
        <w:tab/>
      </w:r>
      <w:r>
        <w:tab/>
      </w:r>
      <w:r>
        <w:tab/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9F3"/>
    <w:multiLevelType w:val="hybridMultilevel"/>
    <w:tmpl w:val="9DF0A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B74"/>
    <w:multiLevelType w:val="hybridMultilevel"/>
    <w:tmpl w:val="F90E312E"/>
    <w:lvl w:ilvl="0" w:tplc="74BE211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3954"/>
    <w:multiLevelType w:val="hybridMultilevel"/>
    <w:tmpl w:val="9DF0A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32F7"/>
    <w:multiLevelType w:val="hybridMultilevel"/>
    <w:tmpl w:val="9DF0A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6E96"/>
    <w:multiLevelType w:val="hybridMultilevel"/>
    <w:tmpl w:val="9A52CB08"/>
    <w:lvl w:ilvl="0" w:tplc="C83C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E4EAE"/>
    <w:multiLevelType w:val="hybridMultilevel"/>
    <w:tmpl w:val="3D1E03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F5"/>
    <w:rsid w:val="001A30F5"/>
    <w:rsid w:val="0035175D"/>
    <w:rsid w:val="0054440E"/>
    <w:rsid w:val="006301CF"/>
    <w:rsid w:val="00F860A7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Carroll</dc:creator>
  <cp:lastModifiedBy>Joan M Carroll</cp:lastModifiedBy>
  <cp:revision>4</cp:revision>
  <cp:lastPrinted>2014-11-24T16:25:00Z</cp:lastPrinted>
  <dcterms:created xsi:type="dcterms:W3CDTF">2014-11-21T19:11:00Z</dcterms:created>
  <dcterms:modified xsi:type="dcterms:W3CDTF">2014-11-24T16:27:00Z</dcterms:modified>
</cp:coreProperties>
</file>