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EE" w:rsidRDefault="000F66EE" w:rsidP="000F66EE">
      <w:pPr>
        <w:widowControl w:val="0"/>
        <w:jc w:val="right"/>
      </w:pPr>
      <w:r>
        <w:t>October 27, 2014</w:t>
      </w:r>
    </w:p>
    <w:p w:rsidR="000F66EE" w:rsidRDefault="000F66EE" w:rsidP="000F66EE">
      <w:pPr>
        <w:widowControl w:val="0"/>
        <w:jc w:val="right"/>
      </w:pPr>
    </w:p>
    <w:p w:rsidR="000F66EE" w:rsidRDefault="000F66EE" w:rsidP="000F66EE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 xml:space="preserve">To: </w:t>
      </w:r>
      <w:r>
        <w:tab/>
        <w:t>Faculty Assembly</w:t>
      </w:r>
    </w:p>
    <w:p w:rsidR="000F66EE" w:rsidRDefault="000F66EE" w:rsidP="000F66EE">
      <w:pPr>
        <w:widowControl w:val="0"/>
      </w:pPr>
      <w:r>
        <w:t xml:space="preserve">From: </w:t>
      </w:r>
      <w:r>
        <w:tab/>
        <w:t>Personnel Policies Council</w:t>
      </w:r>
    </w:p>
    <w:p w:rsidR="000F66EE" w:rsidRDefault="000F66EE" w:rsidP="000F66EE">
      <w:pPr>
        <w:widowControl w:val="0"/>
      </w:pPr>
      <w:r>
        <w:t xml:space="preserve">Re: </w:t>
      </w:r>
      <w:r>
        <w:tab/>
        <w:t>Old business (by-laws changes)</w:t>
      </w:r>
    </w:p>
    <w:p w:rsidR="00382BE2" w:rsidRPr="00713717" w:rsidRDefault="00382BE2">
      <w:pPr>
        <w:widowControl w:val="0"/>
        <w:rPr>
          <w:sz w:val="32"/>
          <w:szCs w:val="32"/>
        </w:rPr>
      </w:pPr>
    </w:p>
    <w:p w:rsidR="000F66EE" w:rsidRDefault="000F66EE" w:rsidP="000F66EE">
      <w:pPr>
        <w:widowControl w:val="0"/>
        <w:numPr>
          <w:ilvl w:val="0"/>
          <w:numId w:val="1"/>
        </w:numPr>
      </w:pPr>
      <w:r>
        <w:t xml:space="preserve">Appendix D: Promotion and Discretionary Salary Increases </w:t>
      </w:r>
    </w:p>
    <w:p w:rsidR="00382BE2" w:rsidRDefault="000F66EE" w:rsidP="00AE2706">
      <w:pPr>
        <w:widowControl w:val="0"/>
        <w:spacing w:after="120"/>
        <w:ind w:firstLine="720"/>
      </w:pPr>
      <w:r>
        <w:rPr>
          <w:b/>
        </w:rPr>
        <w:t xml:space="preserve">Motion: </w:t>
      </w:r>
      <w:r w:rsidR="00AE2706">
        <w:t>Change so that it</w:t>
      </w:r>
      <w:r w:rsidR="00096B35">
        <w:t xml:space="preserve"> deal</w:t>
      </w:r>
      <w:r w:rsidR="00AE2706">
        <w:t>s only</w:t>
      </w:r>
      <w:r w:rsidR="00096B35">
        <w:t xml:space="preserve"> with promotion</w:t>
      </w:r>
      <w:r w:rsidR="00AE2706">
        <w:t>s</w:t>
      </w:r>
    </w:p>
    <w:p w:rsidR="00713717" w:rsidRDefault="00AE2706" w:rsidP="00713717">
      <w:pPr>
        <w:widowControl w:val="0"/>
        <w:spacing w:after="120"/>
        <w:ind w:left="720"/>
      </w:pPr>
      <w:r>
        <w:t xml:space="preserve">Current Text: see </w:t>
      </w:r>
      <w:hyperlink r:id="rId6" w:history="1">
        <w:r w:rsidR="00713717" w:rsidRPr="00713717">
          <w:rPr>
            <w:rStyle w:val="Hyperlink"/>
          </w:rPr>
          <w:t>http://www.oswego.edu/academics/faculty/assembly/bylaws.html</w:t>
        </w:r>
      </w:hyperlink>
    </w:p>
    <w:p w:rsidR="00AE2706" w:rsidRPr="009A4BBA" w:rsidRDefault="00AE2706" w:rsidP="00AE2706">
      <w:pPr>
        <w:widowControl w:val="0"/>
        <w:ind w:left="720"/>
        <w:rPr>
          <w:b/>
        </w:rPr>
      </w:pPr>
      <w:r w:rsidRPr="009A4BBA">
        <w:rPr>
          <w:b/>
        </w:rPr>
        <w:t>Rationale:</w:t>
      </w:r>
    </w:p>
    <w:p w:rsidR="00382BE2" w:rsidRDefault="00096B35" w:rsidP="00AE2706">
      <w:pPr>
        <w:widowControl w:val="0"/>
        <w:numPr>
          <w:ilvl w:val="0"/>
          <w:numId w:val="3"/>
        </w:numPr>
        <w:tabs>
          <w:tab w:val="left" w:pos="1080"/>
        </w:tabs>
      </w:pPr>
      <w:r>
        <w:t xml:space="preserve">Promotion and DSI are two different processes. </w:t>
      </w:r>
      <w:r w:rsidR="00AE2706">
        <w:t xml:space="preserve">Having a </w:t>
      </w:r>
      <w:r>
        <w:t xml:space="preserve">separate </w:t>
      </w:r>
      <w:r w:rsidR="00AE2706">
        <w:t xml:space="preserve">appendix for each </w:t>
      </w:r>
      <w:r>
        <w:t>will eliminate some confusion.</w:t>
      </w:r>
    </w:p>
    <w:p w:rsidR="00382BE2" w:rsidRDefault="00096B35" w:rsidP="00AE2706">
      <w:pPr>
        <w:widowControl w:val="0"/>
        <w:numPr>
          <w:ilvl w:val="0"/>
          <w:numId w:val="3"/>
        </w:numPr>
        <w:tabs>
          <w:tab w:val="left" w:pos="1080"/>
        </w:tabs>
      </w:pPr>
      <w:r>
        <w:t>Under the current contract, DSA is a separate pay not added to base pay, as promotion is.</w:t>
      </w:r>
    </w:p>
    <w:p w:rsidR="00382BE2" w:rsidRDefault="00096B35" w:rsidP="00AE2706">
      <w:pPr>
        <w:widowControl w:val="0"/>
        <w:numPr>
          <w:ilvl w:val="0"/>
          <w:numId w:val="3"/>
        </w:numPr>
        <w:tabs>
          <w:tab w:val="left" w:pos="1080"/>
        </w:tabs>
      </w:pPr>
      <w:r>
        <w:t>Promotion is a stock variable (cumulative), and discretionary salary changes are flow (discrete time period).</w:t>
      </w:r>
    </w:p>
    <w:p w:rsidR="00382BE2" w:rsidRPr="00713717" w:rsidRDefault="00382BE2">
      <w:pPr>
        <w:widowControl w:val="0"/>
        <w:rPr>
          <w:sz w:val="32"/>
          <w:szCs w:val="32"/>
        </w:rPr>
      </w:pPr>
    </w:p>
    <w:p w:rsidR="00382BE2" w:rsidRDefault="00AE2706" w:rsidP="00713717">
      <w:pPr>
        <w:widowControl w:val="0"/>
        <w:numPr>
          <w:ilvl w:val="0"/>
          <w:numId w:val="1"/>
        </w:numPr>
        <w:spacing w:after="120"/>
      </w:pPr>
      <w:r>
        <w:rPr>
          <w:b/>
        </w:rPr>
        <w:t xml:space="preserve">Motion: </w:t>
      </w:r>
      <w:r w:rsidR="00096B35">
        <w:t>Add Appendix E: Discretionary Salary Increases (DSI) and Discretionary Salary Awards (DSA)</w:t>
      </w:r>
    </w:p>
    <w:p w:rsidR="00382BE2" w:rsidRDefault="00096B35" w:rsidP="00713717">
      <w:pPr>
        <w:widowControl w:val="0"/>
        <w:spacing w:after="120"/>
        <w:ind w:firstLine="720"/>
      </w:pPr>
      <w:r>
        <w:t>Proposed Text:</w:t>
      </w:r>
      <w:r>
        <w:tab/>
        <w:t>(See electronic version)</w:t>
      </w:r>
    </w:p>
    <w:p w:rsidR="00AE2706" w:rsidRPr="009A4BBA" w:rsidRDefault="00AE2706" w:rsidP="00AE2706">
      <w:pPr>
        <w:widowControl w:val="0"/>
        <w:ind w:left="720"/>
        <w:rPr>
          <w:b/>
        </w:rPr>
      </w:pPr>
      <w:r w:rsidRPr="009A4BBA">
        <w:rPr>
          <w:b/>
        </w:rPr>
        <w:t>Rationale:</w:t>
      </w:r>
    </w:p>
    <w:p w:rsidR="00382BE2" w:rsidRDefault="00096B35" w:rsidP="00AE2706">
      <w:pPr>
        <w:widowControl w:val="0"/>
        <w:numPr>
          <w:ilvl w:val="0"/>
          <w:numId w:val="4"/>
        </w:numPr>
        <w:tabs>
          <w:tab w:val="left" w:pos="1080"/>
        </w:tabs>
      </w:pPr>
      <w:r>
        <w:t>Evolution of contract and rightful inclusion of part-time faculty require separate process, and language.</w:t>
      </w:r>
    </w:p>
    <w:p w:rsidR="00382BE2" w:rsidRDefault="00096B35" w:rsidP="00AE2706">
      <w:pPr>
        <w:widowControl w:val="0"/>
        <w:numPr>
          <w:ilvl w:val="0"/>
          <w:numId w:val="4"/>
        </w:numPr>
        <w:tabs>
          <w:tab w:val="left" w:pos="1080"/>
        </w:tabs>
      </w:pPr>
      <w:r>
        <w:t xml:space="preserve">Under current contract, lump sum (DSA) is not </w:t>
      </w:r>
      <w:r w:rsidR="0060060E">
        <w:t>cumulative;</w:t>
      </w:r>
      <w:r>
        <w:t xml:space="preserve"> therefore documentation should be a less onerous process.</w:t>
      </w:r>
    </w:p>
    <w:p w:rsidR="00382BE2" w:rsidRPr="00713717" w:rsidRDefault="00382BE2">
      <w:pPr>
        <w:widowControl w:val="0"/>
        <w:rPr>
          <w:sz w:val="32"/>
          <w:szCs w:val="32"/>
        </w:rPr>
      </w:pPr>
    </w:p>
    <w:p w:rsidR="00382BE2" w:rsidRDefault="00AE2706" w:rsidP="00713717">
      <w:pPr>
        <w:widowControl w:val="0"/>
        <w:numPr>
          <w:ilvl w:val="0"/>
          <w:numId w:val="1"/>
        </w:numPr>
        <w:spacing w:after="120"/>
      </w:pPr>
      <w:r>
        <w:rPr>
          <w:b/>
        </w:rPr>
        <w:t>Motion:</w:t>
      </w:r>
      <w:r>
        <w:tab/>
        <w:t xml:space="preserve">Eliminate </w:t>
      </w:r>
      <w:r w:rsidR="00096B35">
        <w:t>Article XXIV</w:t>
      </w:r>
      <w:r>
        <w:tab/>
        <w:t>Academic Outreach Council</w:t>
      </w:r>
    </w:p>
    <w:p w:rsidR="00AE2706" w:rsidRDefault="00AE2706" w:rsidP="00AE2706">
      <w:pPr>
        <w:widowControl w:val="0"/>
        <w:ind w:left="720"/>
      </w:pPr>
      <w:r>
        <w:t>Current Text:</w:t>
      </w:r>
    </w:p>
    <w:p w:rsidR="00382BE2" w:rsidRDefault="00096B35" w:rsidP="00AE2706">
      <w:pPr>
        <w:widowControl w:val="0"/>
        <w:ind w:left="720"/>
      </w:pPr>
      <w:proofErr w:type="gramStart"/>
      <w:r>
        <w:t>Section 1.</w:t>
      </w:r>
      <w:proofErr w:type="gramEnd"/>
      <w:r>
        <w:t xml:space="preserve"> Ex-Officio Members</w:t>
      </w:r>
    </w:p>
    <w:p w:rsidR="00382BE2" w:rsidRDefault="00096B35" w:rsidP="00AE2706">
      <w:pPr>
        <w:widowControl w:val="0"/>
        <w:ind w:left="720"/>
      </w:pPr>
      <w:r>
        <w:t>The Dean of Extended Learning, the Coordinator for Summer Sessions, the Dean of Graduate Studies, the Director of the Center for Business and Community Programs, and the Registrar.</w:t>
      </w:r>
    </w:p>
    <w:p w:rsidR="00382BE2" w:rsidRDefault="00096B35" w:rsidP="00AE2706">
      <w:pPr>
        <w:widowControl w:val="0"/>
        <w:ind w:left="720"/>
      </w:pPr>
      <w:proofErr w:type="gramStart"/>
      <w:r>
        <w:t>Section 2.</w:t>
      </w:r>
      <w:proofErr w:type="gramEnd"/>
      <w:r>
        <w:t xml:space="preserve"> Functions</w:t>
      </w:r>
    </w:p>
    <w:p w:rsidR="00382BE2" w:rsidRDefault="00096B35" w:rsidP="00AE2706">
      <w:pPr>
        <w:widowControl w:val="0"/>
        <w:numPr>
          <w:ilvl w:val="0"/>
          <w:numId w:val="5"/>
        </w:numPr>
        <w:tabs>
          <w:tab w:val="left" w:pos="1080"/>
        </w:tabs>
      </w:pPr>
      <w:r>
        <w:t>The council shall promote initiatives to develop programs in Continuing Education, Distance Learning, and related areas.</w:t>
      </w:r>
    </w:p>
    <w:p w:rsidR="00382BE2" w:rsidRDefault="00096B35" w:rsidP="00713717">
      <w:pPr>
        <w:widowControl w:val="0"/>
        <w:numPr>
          <w:ilvl w:val="0"/>
          <w:numId w:val="5"/>
        </w:numPr>
        <w:tabs>
          <w:tab w:val="left" w:pos="1080"/>
        </w:tabs>
        <w:spacing w:after="120"/>
      </w:pPr>
      <w:r>
        <w:t>The council shall raise questions and recommend solutions on matters concerning all aspects of academic outreach.</w:t>
      </w:r>
      <w:r>
        <w:tab/>
      </w:r>
    </w:p>
    <w:p w:rsidR="00AE2706" w:rsidRPr="009A4BBA" w:rsidRDefault="00AE2706" w:rsidP="00AE2706">
      <w:pPr>
        <w:widowControl w:val="0"/>
        <w:ind w:left="720"/>
        <w:rPr>
          <w:b/>
        </w:rPr>
      </w:pPr>
      <w:r w:rsidRPr="009A4BBA">
        <w:rPr>
          <w:b/>
        </w:rPr>
        <w:t>Rationale:</w:t>
      </w:r>
    </w:p>
    <w:p w:rsidR="00382BE2" w:rsidRDefault="00096B35" w:rsidP="00AE2706">
      <w:pPr>
        <w:widowControl w:val="0"/>
        <w:numPr>
          <w:ilvl w:val="0"/>
          <w:numId w:val="6"/>
        </w:numPr>
        <w:tabs>
          <w:tab w:val="left" w:pos="1080"/>
        </w:tabs>
      </w:pPr>
      <w:r>
        <w:t>Recommendation of Task Force on Shared Governance, Committee Structure and Collaboration.</w:t>
      </w:r>
    </w:p>
    <w:p w:rsidR="00382BE2" w:rsidRDefault="00096B35" w:rsidP="00AE2706">
      <w:pPr>
        <w:widowControl w:val="0"/>
        <w:numPr>
          <w:ilvl w:val="0"/>
          <w:numId w:val="6"/>
        </w:numPr>
        <w:tabs>
          <w:tab w:val="left" w:pos="1080"/>
        </w:tabs>
      </w:pPr>
      <w:r>
        <w:t xml:space="preserve">Curricular and other matters should be attended to through </w:t>
      </w:r>
      <w:r w:rsidR="00AE2706">
        <w:t>existing councils</w:t>
      </w:r>
      <w:r>
        <w:t xml:space="preserve"> such as UCC, PPC or APC.</w:t>
      </w:r>
    </w:p>
    <w:p w:rsidR="00382BE2" w:rsidRDefault="00096B35" w:rsidP="00713717">
      <w:pPr>
        <w:widowControl w:val="0"/>
        <w:numPr>
          <w:ilvl w:val="0"/>
          <w:numId w:val="6"/>
        </w:numPr>
        <w:tabs>
          <w:tab w:val="left" w:pos="1080"/>
        </w:tabs>
      </w:pPr>
      <w:r>
        <w:lastRenderedPageBreak/>
        <w:t xml:space="preserve">Academic outreach should have </w:t>
      </w:r>
      <w:r w:rsidR="00AE2706">
        <w:t xml:space="preserve">the </w:t>
      </w:r>
      <w:r>
        <w:t xml:space="preserve">same standards and requirements as all other courses and programs. </w:t>
      </w:r>
      <w:r w:rsidR="00AE2706">
        <w:t xml:space="preserve">We need a </w:t>
      </w:r>
      <w:r>
        <w:t>seamless governance structure for all courses, whether they are in person, hybrid, or online.</w:t>
      </w:r>
      <w:bookmarkStart w:id="0" w:name="_GoBack"/>
      <w:bookmarkEnd w:id="0"/>
    </w:p>
    <w:sectPr w:rsidR="00382BE2" w:rsidSect="00713717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4144"/>
    <w:multiLevelType w:val="hybridMultilevel"/>
    <w:tmpl w:val="29B8F7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C3C55"/>
    <w:multiLevelType w:val="hybridMultilevel"/>
    <w:tmpl w:val="45D8D4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F81A902A">
      <w:start w:val="1"/>
      <w:numFmt w:val="lowerLetter"/>
      <w:lvlText w:val="%2.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A33AD"/>
    <w:multiLevelType w:val="hybridMultilevel"/>
    <w:tmpl w:val="45D8D4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F81A902A">
      <w:start w:val="1"/>
      <w:numFmt w:val="lowerLetter"/>
      <w:lvlText w:val="%2.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AD450C"/>
    <w:multiLevelType w:val="hybridMultilevel"/>
    <w:tmpl w:val="6A88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85853"/>
    <w:multiLevelType w:val="hybridMultilevel"/>
    <w:tmpl w:val="828811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B547C3"/>
    <w:multiLevelType w:val="hybridMultilevel"/>
    <w:tmpl w:val="A13E3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60E"/>
    <w:rsid w:val="00096B35"/>
    <w:rsid w:val="000F66EE"/>
    <w:rsid w:val="00382BE2"/>
    <w:rsid w:val="0060060E"/>
    <w:rsid w:val="00713717"/>
    <w:rsid w:val="00A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wego.edu/academics/faculty/assembly/bylaw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 Carroll</dc:creator>
  <cp:lastModifiedBy>Joan M Carroll</cp:lastModifiedBy>
  <cp:revision>3</cp:revision>
  <cp:lastPrinted>2014-10-27T22:30:00Z</cp:lastPrinted>
  <dcterms:created xsi:type="dcterms:W3CDTF">2014-10-27T18:30:00Z</dcterms:created>
  <dcterms:modified xsi:type="dcterms:W3CDTF">2014-10-27T18:42:00Z</dcterms:modified>
</cp:coreProperties>
</file>